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F1053" w14:textId="77777777" w:rsidR="005A30FF" w:rsidRDefault="005A30FF" w:rsidP="005A30FF">
      <w:pPr>
        <w:jc w:val="center"/>
        <w:rPr>
          <w:rFonts w:ascii="Roboto" w:hAnsi="Roboto" w:cs="Arial"/>
          <w:b/>
          <w:bCs/>
          <w:color w:val="FF0000"/>
          <w:sz w:val="22"/>
          <w:szCs w:val="22"/>
        </w:rPr>
      </w:pPr>
      <w:r>
        <w:rPr>
          <w:noProof/>
          <w:lang w:val="es-PE" w:eastAsia="es-PE"/>
        </w:rPr>
        <w:drawing>
          <wp:inline distT="0" distB="0" distL="0" distR="0" wp14:anchorId="42FDC5ED" wp14:editId="1C9EEF9D">
            <wp:extent cx="849852" cy="952026"/>
            <wp:effectExtent l="0" t="0" r="7620"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X_VL_C_RGB.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63508" cy="967323"/>
                    </a:xfrm>
                    <a:prstGeom prst="rect">
                      <a:avLst/>
                    </a:prstGeom>
                  </pic:spPr>
                </pic:pic>
              </a:graphicData>
            </a:graphic>
          </wp:inline>
        </w:drawing>
      </w:r>
    </w:p>
    <w:p w14:paraId="01DF8309" w14:textId="77777777" w:rsidR="005A30FF" w:rsidRDefault="005A30FF" w:rsidP="005A30FF">
      <w:pPr>
        <w:jc w:val="center"/>
        <w:rPr>
          <w:rFonts w:ascii="Roboto" w:hAnsi="Roboto" w:cs="Arial"/>
          <w:b/>
          <w:bCs/>
          <w:color w:val="FF0000"/>
          <w:sz w:val="22"/>
          <w:szCs w:val="22"/>
        </w:rPr>
      </w:pPr>
    </w:p>
    <w:p w14:paraId="3E2C88F7" w14:textId="77777777" w:rsidR="005A30FF" w:rsidRDefault="005A30FF" w:rsidP="005A30FF">
      <w:pPr>
        <w:jc w:val="center"/>
        <w:rPr>
          <w:rFonts w:ascii="Roboto" w:hAnsi="Roboto" w:cs="Arial"/>
          <w:b/>
          <w:bCs/>
          <w:color w:val="FF0000"/>
          <w:sz w:val="22"/>
          <w:szCs w:val="22"/>
        </w:rPr>
      </w:pPr>
    </w:p>
    <w:p w14:paraId="67F212DC" w14:textId="77777777" w:rsidR="00837716" w:rsidRPr="00C34E29" w:rsidRDefault="00837716" w:rsidP="00837716">
      <w:pPr>
        <w:rPr>
          <w:rFonts w:ascii="Roboto" w:hAnsi="Roboto" w:cs="Arial"/>
          <w:sz w:val="6"/>
          <w:szCs w:val="6"/>
          <w:lang w:val="es-ES"/>
        </w:rPr>
      </w:pPr>
    </w:p>
    <w:p w14:paraId="59C1ACAE" w14:textId="2222ABE0" w:rsidR="33429226" w:rsidRPr="00C34E29" w:rsidRDefault="3D34A920" w:rsidP="33429226">
      <w:pPr>
        <w:spacing w:line="259" w:lineRule="auto"/>
        <w:rPr>
          <w:rFonts w:ascii="Roboto" w:hAnsi="Roboto" w:cs="Arial"/>
          <w:b/>
          <w:bCs/>
          <w:sz w:val="40"/>
          <w:szCs w:val="40"/>
          <w:lang w:val="es-ES"/>
        </w:rPr>
      </w:pPr>
      <w:r w:rsidRPr="00C34E29">
        <w:rPr>
          <w:rFonts w:ascii="Roboto" w:eastAsia="Roboto" w:hAnsi="Roboto" w:cs="Roboto"/>
          <w:b/>
          <w:bCs/>
          <w:sz w:val="40"/>
          <w:szCs w:val="40"/>
          <w:lang w:val="es-ES"/>
        </w:rPr>
        <w:t>Una persona del 0,1 % más rico produce más contaminación por carbono en un día que alguien del 50 % más pobre en todo un año</w:t>
      </w:r>
      <w:r w:rsidR="5C012102" w:rsidRPr="00C34E29">
        <w:rPr>
          <w:lang w:val="es-ES"/>
        </w:rPr>
        <w:br/>
      </w:r>
    </w:p>
    <w:p w14:paraId="3E9C52A9" w14:textId="4CAA96D0" w:rsidR="66F45673" w:rsidRPr="00343333" w:rsidRDefault="160E21D2" w:rsidP="001825EB">
      <w:pPr>
        <w:pStyle w:val="Textonotapie"/>
        <w:numPr>
          <w:ilvl w:val="0"/>
          <w:numId w:val="11"/>
        </w:numPr>
        <w:rPr>
          <w:rFonts w:ascii="Roboto" w:eastAsia="Roboto" w:hAnsi="Roboto" w:cs="Roboto"/>
          <w:sz w:val="24"/>
          <w:szCs w:val="24"/>
          <w:lang w:val="es-ES"/>
        </w:rPr>
      </w:pPr>
      <w:r w:rsidRPr="00343333">
        <w:rPr>
          <w:rFonts w:ascii="Roboto" w:eastAsia="Roboto" w:hAnsi="Roboto" w:cs="Roboto"/>
          <w:lang w:val="es-ES"/>
        </w:rPr>
        <w:t xml:space="preserve">Desde 1990, </w:t>
      </w:r>
      <w:r w:rsidRPr="00343333">
        <w:rPr>
          <w:rFonts w:ascii="Roboto" w:hAnsi="Roboto" w:cs="Arial"/>
          <w:lang w:val="es-ES"/>
        </w:rPr>
        <w:t xml:space="preserve">el 0,1 % más rico ha aumentado su cuota de emisiones totales en un 32 %, </w:t>
      </w:r>
      <w:r w:rsidRPr="00343333">
        <w:rPr>
          <w:rFonts w:ascii="Roboto" w:eastAsia="Roboto" w:hAnsi="Roboto" w:cs="Roboto"/>
          <w:color w:val="000000" w:themeColor="text1"/>
          <w:lang w:val="es-ES"/>
        </w:rPr>
        <w:t>mientras que la mitad más pobre de la humanidad ha visto reducir su cuota en un 3 %.</w:t>
      </w:r>
      <w:r w:rsidR="00CB35DD">
        <w:rPr>
          <w:rFonts w:ascii="Roboto" w:eastAsia="Roboto" w:hAnsi="Roboto" w:cs="Roboto"/>
          <w:color w:val="000000" w:themeColor="text1"/>
          <w:lang w:val="es-ES"/>
        </w:rPr>
        <w:t xml:space="preserve"> </w:t>
      </w:r>
      <w:proofErr w:type="gramStart"/>
      <w:r w:rsidR="3D34A920" w:rsidRPr="00343333">
        <w:rPr>
          <w:rFonts w:ascii="Roboto" w:hAnsi="Roboto" w:cs="Arial"/>
          <w:lang w:val="es-ES"/>
        </w:rPr>
        <w:t>Si</w:t>
      </w:r>
      <w:proofErr w:type="gramEnd"/>
      <w:r w:rsidR="3D34A920" w:rsidRPr="00343333">
        <w:rPr>
          <w:rFonts w:ascii="Roboto" w:hAnsi="Roboto" w:cs="Arial"/>
          <w:lang w:val="es-ES"/>
        </w:rPr>
        <w:t xml:space="preserve"> todo el mundo emitiera carbono como el 0,1 % más rico, el presupuesto de carbono </w:t>
      </w:r>
      <w:r w:rsidR="3D34A920" w:rsidRPr="00343333">
        <w:rPr>
          <w:rFonts w:ascii="Roboto" w:eastAsia="Roboto" w:hAnsi="Roboto" w:cs="Roboto"/>
          <w:lang w:val="es-ES"/>
        </w:rPr>
        <w:t xml:space="preserve">—la cantidad de CO2 que se puede emitir </w:t>
      </w:r>
      <w:r w:rsidR="3D34A920" w:rsidRPr="00343333">
        <w:rPr>
          <w:rFonts w:ascii="Roboto" w:hAnsi="Roboto" w:cs="Arial"/>
          <w:lang w:val="es-ES"/>
        </w:rPr>
        <w:t xml:space="preserve">sin </w:t>
      </w:r>
      <w:r w:rsidR="3D34A920" w:rsidRPr="00343333">
        <w:rPr>
          <w:rFonts w:ascii="Roboto" w:eastAsia="Roboto" w:hAnsi="Roboto" w:cs="Roboto"/>
          <w:lang w:val="es-ES"/>
        </w:rPr>
        <w:t xml:space="preserve">provocar un desastre </w:t>
      </w:r>
      <w:r w:rsidR="3D34A920" w:rsidRPr="00343333">
        <w:rPr>
          <w:rFonts w:ascii="Roboto" w:hAnsi="Roboto" w:cs="Arial"/>
          <w:lang w:val="es-ES"/>
        </w:rPr>
        <w:t>climático— se agotaría en menos de tres semanas.</w:t>
      </w:r>
      <w:r w:rsidR="00CB35DD">
        <w:rPr>
          <w:rFonts w:ascii="Roboto" w:hAnsi="Roboto" w:cs="Arial"/>
          <w:lang w:val="es-ES"/>
        </w:rPr>
        <w:t xml:space="preserve"> </w:t>
      </w:r>
      <w:r w:rsidR="3D34A920" w:rsidRPr="00343333">
        <w:rPr>
          <w:rFonts w:ascii="Roboto" w:eastAsia="Roboto" w:hAnsi="Roboto" w:cs="Roboto"/>
          <w:lang w:val="es-ES"/>
        </w:rPr>
        <w:t xml:space="preserve">Para mantenerse dentro de los límites del umbral de 1,5 °C, el 0,1 % más rico tendría que reducir sus emisiones per cápita en un 99 % para 2030. </w:t>
      </w:r>
    </w:p>
    <w:p w14:paraId="427BFD0D" w14:textId="441165FE" w:rsidR="66F45673" w:rsidRDefault="160E21D2" w:rsidP="00E91D5D">
      <w:pPr>
        <w:pStyle w:val="Textonotapie"/>
        <w:numPr>
          <w:ilvl w:val="0"/>
          <w:numId w:val="11"/>
        </w:numPr>
        <w:tabs>
          <w:tab w:val="left" w:pos="5280"/>
        </w:tabs>
        <w:jc w:val="both"/>
        <w:rPr>
          <w:rFonts w:ascii="Roboto" w:eastAsia="Roboto" w:hAnsi="Roboto" w:cs="Roboto"/>
          <w:lang w:val="es-ES"/>
        </w:rPr>
      </w:pPr>
      <w:r w:rsidRPr="00343333">
        <w:rPr>
          <w:rFonts w:ascii="Roboto" w:eastAsia="Roboto" w:hAnsi="Roboto" w:cs="Roboto"/>
          <w:lang w:val="es-ES"/>
        </w:rPr>
        <w:t>Una persona del 0,1 % más rico del mundo emite más de 800 kg de CO2 al día. Ni siquiera la persona más fuerte del mundo podría levantar tanto peso. Por el contrario, alguien del 50 % más pobre del mundo emite una media de solo 2 kg de CO2 al día, una cantidad que incluso un niño pequeño podría levantar.</w:t>
      </w:r>
    </w:p>
    <w:p w14:paraId="117441D9" w14:textId="77777777" w:rsidR="00CB35DD" w:rsidRPr="00343333" w:rsidRDefault="00CB35DD" w:rsidP="00CB35DD">
      <w:pPr>
        <w:pStyle w:val="Textonotapie"/>
        <w:tabs>
          <w:tab w:val="left" w:pos="5280"/>
        </w:tabs>
        <w:ind w:left="720"/>
        <w:jc w:val="both"/>
        <w:rPr>
          <w:rFonts w:ascii="Roboto" w:eastAsia="Roboto" w:hAnsi="Roboto" w:cs="Roboto"/>
          <w:lang w:val="es-ES"/>
        </w:rPr>
      </w:pPr>
    </w:p>
    <w:p w14:paraId="5D11ED56" w14:textId="54F02454" w:rsidR="071B7D64" w:rsidRPr="00C34E29" w:rsidRDefault="1C5CC5AD" w:rsidP="6061271F">
      <w:pPr>
        <w:pStyle w:val="Textonotapie"/>
        <w:spacing w:line="259" w:lineRule="auto"/>
        <w:rPr>
          <w:rFonts w:ascii="Roboto" w:hAnsi="Roboto" w:cs="Arial"/>
          <w:lang w:val="es-ES"/>
        </w:rPr>
      </w:pPr>
      <w:r w:rsidRPr="1C5CC5AD">
        <w:rPr>
          <w:rFonts w:ascii="Roboto" w:hAnsi="Roboto" w:cs="Arial"/>
          <w:lang w:val="es-ES"/>
        </w:rPr>
        <w:t xml:space="preserve">De cara a la conferencia internacional sobre el clima COP30 en Belém (Brasil), una nueva investigación de Oxfam revela que los estilos de vida altos en carbono de los súper ricos están agotando el presupuesto de carbono restante del mundo, es decir, </w:t>
      </w:r>
      <w:r w:rsidRPr="1C5CC5AD">
        <w:rPr>
          <w:rFonts w:ascii="Roboto" w:eastAsia="Roboto" w:hAnsi="Roboto" w:cs="Roboto"/>
          <w:lang w:val="es-ES"/>
        </w:rPr>
        <w:t xml:space="preserve">la cantidad de CO2 que se puede emitir </w:t>
      </w:r>
      <w:r w:rsidRPr="1C5CC5AD">
        <w:rPr>
          <w:rFonts w:ascii="Roboto" w:hAnsi="Roboto" w:cs="Arial"/>
          <w:lang w:val="es-ES"/>
        </w:rPr>
        <w:t xml:space="preserve">sin </w:t>
      </w:r>
      <w:r w:rsidRPr="1C5CC5AD">
        <w:rPr>
          <w:rFonts w:ascii="Roboto" w:eastAsia="Roboto" w:hAnsi="Roboto" w:cs="Roboto"/>
          <w:lang w:val="es-ES"/>
        </w:rPr>
        <w:t>provocar un desastre climático</w:t>
      </w:r>
      <w:r w:rsidRPr="1C5CC5AD">
        <w:rPr>
          <w:rFonts w:ascii="Roboto" w:hAnsi="Roboto" w:cs="Arial"/>
          <w:lang w:val="es-ES"/>
        </w:rPr>
        <w:t>. La investigación también detalla cómo los multimillonarios están utilizando su influencia política y económica para mantener a la humanidad dependiente de los combustibles fósiles con el fin de maximizar sus beneficios privados.</w:t>
      </w:r>
    </w:p>
    <w:p w14:paraId="6DCAA6DE" w14:textId="237157A7" w:rsidR="071B7D64" w:rsidRPr="00C34E29" w:rsidRDefault="071B7D64" w:rsidP="071B7D64">
      <w:pPr>
        <w:pStyle w:val="Textonotapie"/>
        <w:rPr>
          <w:rFonts w:ascii="Roboto" w:hAnsi="Roboto" w:cs="Arial"/>
          <w:lang w:val="es-ES"/>
        </w:rPr>
      </w:pPr>
    </w:p>
    <w:p w14:paraId="64215DFE" w14:textId="398031C2" w:rsidR="071B7D64" w:rsidRPr="00C34E29" w:rsidRDefault="160E21D2" w:rsidP="553009FA">
      <w:pPr>
        <w:pStyle w:val="Textonotapie"/>
        <w:spacing w:line="259" w:lineRule="auto"/>
        <w:rPr>
          <w:rFonts w:ascii="Roboto" w:eastAsia="Roboto" w:hAnsi="Roboto" w:cs="Roboto"/>
          <w:lang w:val="es-ES"/>
        </w:rPr>
      </w:pPr>
      <w:r w:rsidRPr="160E21D2">
        <w:rPr>
          <w:rFonts w:ascii="Roboto" w:hAnsi="Roboto" w:cs="Arial"/>
          <w:lang w:val="es-ES"/>
        </w:rPr>
        <w:t xml:space="preserve">El informe, titulado </w:t>
      </w:r>
      <w:r w:rsidRPr="160E21D2">
        <w:rPr>
          <w:rFonts w:ascii="Roboto" w:hAnsi="Roboto" w:cs="Arial"/>
          <w:i/>
          <w:iCs/>
          <w:lang w:val="es-ES"/>
        </w:rPr>
        <w:t>«El saqueo climático: cómo unos pocos poderosos están llevando al mundo al desastre</w:t>
      </w:r>
      <w:r w:rsidRPr="160E21D2">
        <w:rPr>
          <w:rFonts w:ascii="Roboto" w:hAnsi="Roboto" w:cs="Arial"/>
          <w:lang w:val="es-ES"/>
        </w:rPr>
        <w:t>», presenta nuevos datos y análisis actualizados que revelan que, desde 1990, el 0,1 % más rico produce más contaminación por carbono en un solo día que alguien del 50 % más pobre durante todo un año. Si todo el mundo emitiera como el 0,1 % más rico, el presupuesto de carbono se agotaría en menos de tres semanas.</w:t>
      </w:r>
    </w:p>
    <w:p w14:paraId="266CC797" w14:textId="69D065FC" w:rsidR="66F45673" w:rsidRPr="00C34E29" w:rsidRDefault="66F45673" w:rsidP="3D34A920">
      <w:pPr>
        <w:pStyle w:val="Textonotapie"/>
        <w:spacing w:line="259" w:lineRule="auto"/>
        <w:rPr>
          <w:rFonts w:ascii="Roboto" w:hAnsi="Roboto" w:cs="Arial"/>
          <w:lang w:val="es-ES"/>
        </w:rPr>
      </w:pPr>
    </w:p>
    <w:p w14:paraId="4DF6DD80" w14:textId="16CD3433" w:rsidR="66F45673" w:rsidRPr="00C34E29" w:rsidRDefault="160E21D2" w:rsidP="33429226">
      <w:pPr>
        <w:pStyle w:val="Textonotapie"/>
        <w:tabs>
          <w:tab w:val="left" w:pos="5280"/>
        </w:tabs>
        <w:jc w:val="both"/>
        <w:rPr>
          <w:rFonts w:ascii="Roboto" w:hAnsi="Roboto" w:cs="Arial"/>
          <w:lang w:val="es-ES"/>
        </w:rPr>
      </w:pPr>
      <w:r w:rsidRPr="160E21D2">
        <w:rPr>
          <w:rFonts w:ascii="Roboto" w:hAnsi="Roboto" w:cs="Arial"/>
          <w:lang w:val="es-ES"/>
        </w:rPr>
        <w:t>Los súper ricos no solo consumen carbono en exceso, sino que también invierten activamente en las empresas más contaminantes y se benefician de ellas. La investigación de Oxfam revela que el multimillonario promedio produce 1,9 millones de toneladas de CO2e al año a través de sus inversiones. Estos multimillonarios tendrían que dar casi 10,000 vueltas al mundo en sus jets privados para emitir semejante cantidad. Casi el 60 % de las inversiones de los multimillonarios se clasifican como sectores de alto impacto climático, como el petróleo o la minería, lo que significa que sus inversiones emiten dos veces y media más que una inversión media en el S&amp;P Global 1200. Las emisiones de las carteras de inversión de solo 308 multimillonarios suman más que las emisiones combinadas de 118 países.</w:t>
      </w:r>
    </w:p>
    <w:p w14:paraId="68C70002" w14:textId="19E1AA22" w:rsidR="66F45673" w:rsidRPr="00C34E29" w:rsidRDefault="66F45673" w:rsidP="33429226">
      <w:pPr>
        <w:pStyle w:val="Textonotapie"/>
        <w:rPr>
          <w:rFonts w:ascii="Roboto" w:hAnsi="Roboto" w:cs="Arial"/>
          <w:lang w:val="es-ES"/>
        </w:rPr>
      </w:pPr>
    </w:p>
    <w:p w14:paraId="7BDC80A7" w14:textId="5CC14789" w:rsidR="66F45673" w:rsidRPr="00C34E29" w:rsidRDefault="33429226" w:rsidP="33429226">
      <w:pPr>
        <w:pStyle w:val="Textonotapie"/>
        <w:tabs>
          <w:tab w:val="left" w:pos="5280"/>
        </w:tabs>
        <w:jc w:val="both"/>
        <w:rPr>
          <w:rFonts w:ascii="Roboto" w:hAnsi="Roboto" w:cs="Arial"/>
          <w:lang w:val="es-ES"/>
        </w:rPr>
      </w:pPr>
      <w:r w:rsidRPr="00C34E29">
        <w:rPr>
          <w:rFonts w:ascii="Roboto" w:hAnsi="Roboto" w:cs="Arial"/>
          <w:lang w:val="es-ES"/>
        </w:rPr>
        <w:t xml:space="preserve">«La crisis climática es una crisis de desigualdad. Las personas </w:t>
      </w:r>
      <w:r w:rsidR="008F6297" w:rsidRPr="00C34E29">
        <w:rPr>
          <w:rFonts w:ascii="Roboto" w:hAnsi="Roboto" w:cs="Arial"/>
          <w:lang w:val="es-ES"/>
        </w:rPr>
        <w:t xml:space="preserve">más </w:t>
      </w:r>
      <w:r w:rsidRPr="00C34E29">
        <w:rPr>
          <w:rFonts w:ascii="Roboto" w:hAnsi="Roboto" w:cs="Arial"/>
          <w:lang w:val="es-ES"/>
        </w:rPr>
        <w:t xml:space="preserve">ricas del mundo están financiando y beneficiándose de la destrucción del clima, dejando que la mayoría de la población mundial soporte las fatales consecuencias de su poder sin control», afirmó </w:t>
      </w:r>
      <w:proofErr w:type="spellStart"/>
      <w:r w:rsidRPr="00C34E29">
        <w:rPr>
          <w:rFonts w:ascii="Roboto" w:hAnsi="Roboto" w:cs="Arial"/>
          <w:lang w:val="es-ES"/>
        </w:rPr>
        <w:t>Amitabh</w:t>
      </w:r>
      <w:proofErr w:type="spellEnd"/>
      <w:r w:rsidRPr="00C34E29">
        <w:rPr>
          <w:rFonts w:ascii="Roboto" w:hAnsi="Roboto" w:cs="Arial"/>
          <w:lang w:val="es-ES"/>
        </w:rPr>
        <w:t xml:space="preserve"> Behar, director ejecutivo de Oxfam International.</w:t>
      </w:r>
    </w:p>
    <w:p w14:paraId="47D6246C" w14:textId="6B7CF11F" w:rsidR="66F45673" w:rsidRPr="00C34E29" w:rsidRDefault="66F45673" w:rsidP="33429226">
      <w:pPr>
        <w:pStyle w:val="Textonotapie"/>
        <w:tabs>
          <w:tab w:val="left" w:pos="5280"/>
        </w:tabs>
        <w:jc w:val="both"/>
        <w:rPr>
          <w:rFonts w:ascii="Roboto" w:hAnsi="Roboto" w:cs="Arial"/>
          <w:lang w:val="es-ES"/>
        </w:rPr>
      </w:pPr>
    </w:p>
    <w:p w14:paraId="6A82895A" w14:textId="7294F11B" w:rsidR="66F45673" w:rsidRPr="00C34E29" w:rsidRDefault="3D34A920" w:rsidP="33429226">
      <w:pPr>
        <w:pStyle w:val="Textonotapie"/>
        <w:tabs>
          <w:tab w:val="left" w:pos="5280"/>
        </w:tabs>
        <w:jc w:val="both"/>
        <w:rPr>
          <w:rFonts w:ascii="Roboto" w:hAnsi="Roboto" w:cs="Arial"/>
          <w:lang w:val="es-ES"/>
        </w:rPr>
      </w:pPr>
      <w:r w:rsidRPr="00C34E29">
        <w:rPr>
          <w:rFonts w:ascii="Roboto" w:hAnsi="Roboto" w:cs="Arial"/>
          <w:lang w:val="es-ES"/>
        </w:rPr>
        <w:lastRenderedPageBreak/>
        <w:t xml:space="preserve">El poder y la riqueza de las personas y empresas multimillonarias también les han permitido ejercer una influencia injusta en la elaboración de políticas y diluir las negociaciones sobre el clima. En la COP29, se concedieron acreditaciones a 1773 lobistas del carbón, el petróleo y el gas, más que a los 10 países más vulnerables al clima juntos. Varios países ricos y con altas emisiones, como Estados Unidos, Reino Unido, Francia y Alemania, han diluido las leyes climáticas tras recibir grandes donaciones de los lobistas contrarios al clima.  </w:t>
      </w:r>
    </w:p>
    <w:p w14:paraId="32E701D3" w14:textId="6C0A1E09" w:rsidR="66F45673" w:rsidRPr="00C34E29" w:rsidRDefault="66F45673" w:rsidP="33429226">
      <w:pPr>
        <w:pStyle w:val="Textonotapie"/>
        <w:tabs>
          <w:tab w:val="left" w:pos="5280"/>
        </w:tabs>
        <w:jc w:val="both"/>
        <w:rPr>
          <w:rFonts w:ascii="Roboto" w:hAnsi="Roboto" w:cs="Arial"/>
          <w:lang w:val="es-ES"/>
        </w:rPr>
      </w:pPr>
    </w:p>
    <w:p w14:paraId="3EA4EF81" w14:textId="7EFBC600" w:rsidR="66F45673" w:rsidRPr="00C34E29" w:rsidRDefault="160E21D2" w:rsidP="31B0872E">
      <w:pPr>
        <w:pStyle w:val="Textonotapie"/>
        <w:tabs>
          <w:tab w:val="left" w:pos="5280"/>
        </w:tabs>
        <w:spacing w:line="259" w:lineRule="auto"/>
        <w:jc w:val="both"/>
        <w:rPr>
          <w:rFonts w:ascii="Roboto" w:hAnsi="Roboto" w:cs="Arial"/>
          <w:lang w:val="es-ES"/>
        </w:rPr>
      </w:pPr>
      <w:r w:rsidRPr="160E21D2">
        <w:rPr>
          <w:rFonts w:ascii="Roboto" w:hAnsi="Roboto" w:cs="Arial"/>
          <w:lang w:val="es-ES"/>
        </w:rPr>
        <w:t>«Es una parodia que se haya permitido que el poder y la riqueza se acumulen en manos de unos pocos, que solo los utilizan para afianzar aún más su influencia y encaminarnos hacia la destrucción del planeta. Los súper ricos y las empresas que dirigen tienen un historial mortífero de financiar a grupos de presión, difundir desinformación sobre el clima y demandar a las ONG y los gobiernos que intentan interponerse en su camino. Debemos romper el dominio de los superricos sobre la política climática gravando su riqueza extrema, prohibiendo sus actividades de presión y, en su lugar, situando a los más afectados por la crisis climática en primera línea de la toma de decisiones sobre el clima», afirmó Behar.</w:t>
      </w:r>
    </w:p>
    <w:p w14:paraId="0C81C5C2" w14:textId="23A49BE0" w:rsidR="00952AF2" w:rsidRPr="00C34E29" w:rsidRDefault="00952AF2" w:rsidP="33429226">
      <w:pPr>
        <w:pStyle w:val="Textonotapie"/>
        <w:tabs>
          <w:tab w:val="left" w:pos="5280"/>
        </w:tabs>
        <w:jc w:val="both"/>
        <w:rPr>
          <w:rFonts w:ascii="Roboto" w:hAnsi="Roboto" w:cs="Arial"/>
          <w:lang w:val="es-ES"/>
        </w:rPr>
      </w:pPr>
    </w:p>
    <w:p w14:paraId="568BAF3C" w14:textId="3377EC8A" w:rsidR="33429226" w:rsidRPr="00C34E29" w:rsidRDefault="71658DF6" w:rsidP="33429226">
      <w:pPr>
        <w:pStyle w:val="Textonotapie"/>
        <w:tabs>
          <w:tab w:val="left" w:pos="5280"/>
        </w:tabs>
        <w:jc w:val="both"/>
        <w:rPr>
          <w:rFonts w:ascii="Roboto" w:hAnsi="Roboto" w:cs="Arial"/>
          <w:lang w:val="es-ES"/>
        </w:rPr>
      </w:pPr>
      <w:r w:rsidRPr="71658DF6">
        <w:rPr>
          <w:rFonts w:ascii="Roboto" w:hAnsi="Roboto" w:cs="Arial"/>
          <w:lang w:val="es-ES"/>
        </w:rPr>
        <w:t>Las emisiones del 1 % más rico son suficientes para causar aproximadamente 1,3 millones de muertes relacionadas con el calor a finales de siglo, así como 44 billones de dólares de daños económicos a los países de ingresos bajos y medios-bajos para 2050. Los efectos de estos daños climáticos afectarán de manera desproporcionada a quienes menos han contribuido a la crisis climática, en particular a las personas que viven en el Sur Global, con mayor impacto en las mujeres, las niñas y los grupos indígenas.</w:t>
      </w:r>
    </w:p>
    <w:p w14:paraId="0F83AAB0" w14:textId="21F4BED9" w:rsidR="66F45673" w:rsidRPr="00C34E29" w:rsidRDefault="66F45673" w:rsidP="3D34A920">
      <w:pPr>
        <w:pStyle w:val="Textonotapie"/>
        <w:tabs>
          <w:tab w:val="left" w:pos="5280"/>
        </w:tabs>
        <w:jc w:val="both"/>
        <w:rPr>
          <w:rFonts w:ascii="Roboto" w:hAnsi="Roboto" w:cs="Arial"/>
          <w:lang w:val="es-ES"/>
        </w:rPr>
      </w:pPr>
    </w:p>
    <w:p w14:paraId="487A1DAC" w14:textId="410E8F7F" w:rsidR="66F45673" w:rsidRPr="00C34E29" w:rsidRDefault="3D34A920" w:rsidP="3D34A920">
      <w:pPr>
        <w:pStyle w:val="Textonotapie"/>
        <w:tabs>
          <w:tab w:val="left" w:pos="5280"/>
        </w:tabs>
        <w:jc w:val="both"/>
        <w:rPr>
          <w:rFonts w:ascii="Roboto" w:eastAsia="Roboto" w:hAnsi="Roboto" w:cs="Roboto"/>
          <w:lang w:val="es-ES"/>
        </w:rPr>
      </w:pPr>
      <w:r w:rsidRPr="00C34E29">
        <w:rPr>
          <w:rFonts w:ascii="Roboto" w:eastAsia="Roboto" w:hAnsi="Roboto" w:cs="Roboto"/>
          <w:lang w:val="es-ES"/>
        </w:rPr>
        <w:t>La COP 30 marca diez años desde el Acuerdo de París de 2015. Durante este periodo, el 1 % más rico del mundo ha consumido más del doble del presupuesto de carbono que la mitad más pobre de la humanidad en su conjunto.</w:t>
      </w:r>
    </w:p>
    <w:p w14:paraId="3519383E" w14:textId="192206FE" w:rsidR="66F45673" w:rsidRPr="00C34E29" w:rsidRDefault="66F45673" w:rsidP="31B0872E">
      <w:pPr>
        <w:pStyle w:val="Textonotapie"/>
        <w:tabs>
          <w:tab w:val="left" w:pos="5280"/>
        </w:tabs>
        <w:jc w:val="both"/>
        <w:rPr>
          <w:rFonts w:ascii="Roboto" w:hAnsi="Roboto" w:cs="Arial"/>
          <w:lang w:val="es-ES"/>
        </w:rPr>
      </w:pPr>
    </w:p>
    <w:p w14:paraId="0E22BD96" w14:textId="31347239" w:rsidR="66F45673" w:rsidRPr="00C34E29" w:rsidRDefault="3D34A920" w:rsidP="66F45673">
      <w:pPr>
        <w:pStyle w:val="Textonotapie"/>
        <w:tabs>
          <w:tab w:val="left" w:pos="5280"/>
        </w:tabs>
        <w:jc w:val="both"/>
        <w:rPr>
          <w:rFonts w:ascii="Roboto" w:hAnsi="Roboto" w:cs="Arial"/>
          <w:lang w:val="es-ES"/>
        </w:rPr>
      </w:pPr>
      <w:r w:rsidRPr="00C34E29">
        <w:rPr>
          <w:rFonts w:ascii="Roboto" w:hAnsi="Roboto" w:cs="Arial"/>
          <w:lang w:val="es-ES"/>
        </w:rPr>
        <w:t>Antes de la COP 30, Oxfam pide a los gobiernos que reduzcan las emisiones y desmantelen el poder político y económico de los súper ricos mediante:</w:t>
      </w:r>
    </w:p>
    <w:p w14:paraId="1EAE7DD3" w14:textId="77777777" w:rsidR="66F45673" w:rsidRPr="00C34E29" w:rsidRDefault="66F45673" w:rsidP="66F45673">
      <w:pPr>
        <w:pStyle w:val="Textonotapie"/>
        <w:tabs>
          <w:tab w:val="left" w:pos="5280"/>
        </w:tabs>
        <w:jc w:val="both"/>
        <w:rPr>
          <w:rFonts w:ascii="Roboto" w:hAnsi="Roboto" w:cs="Arial"/>
          <w:lang w:val="es-ES"/>
        </w:rPr>
      </w:pPr>
    </w:p>
    <w:p w14:paraId="5E629191" w14:textId="0319F786" w:rsidR="66F45673" w:rsidRPr="00C34E29" w:rsidRDefault="3D34A920" w:rsidP="66F45673">
      <w:pPr>
        <w:pStyle w:val="Textonotapie"/>
        <w:numPr>
          <w:ilvl w:val="0"/>
          <w:numId w:val="12"/>
        </w:numPr>
        <w:tabs>
          <w:tab w:val="left" w:pos="5280"/>
        </w:tabs>
        <w:jc w:val="both"/>
        <w:rPr>
          <w:rFonts w:ascii="Roboto" w:hAnsi="Roboto" w:cs="Arial"/>
          <w:lang w:val="es-ES"/>
        </w:rPr>
      </w:pPr>
      <w:r w:rsidRPr="00C34E29">
        <w:rPr>
          <w:rFonts w:ascii="Roboto" w:hAnsi="Roboto" w:cs="Arial"/>
          <w:b/>
          <w:bCs/>
          <w:lang w:val="es-ES"/>
        </w:rPr>
        <w:t xml:space="preserve">Reducir drásticamente las emisiones de los súper ricos </w:t>
      </w:r>
      <w:r w:rsidRPr="00C34E29">
        <w:rPr>
          <w:rFonts w:ascii="Roboto" w:hAnsi="Roboto" w:cs="Arial"/>
          <w:lang w:val="es-ES"/>
        </w:rPr>
        <w:t>y hacer que los contaminadores más ricos paguen, mediante impuestos sobre la riqueza extrema, impuestos sobre los beneficios excesivos de las empresas de combustibles fósiles y el apoyo a la Convención de las Naciones Unidas sobre Cooperación Internacional en materia Fiscal. Un impuesto del 60 % sobre los ingresos totales del 1 % más rico a nivel mundial podría reducir las emisiones de carbono equivalentes al total de las emisiones del Reino Unido y generar alrededor de 6,4 billones de dólares.</w:t>
      </w:r>
    </w:p>
    <w:p w14:paraId="16274429" w14:textId="11BEA7F6" w:rsidR="66F45673" w:rsidRPr="00C34E29" w:rsidRDefault="160E21D2" w:rsidP="66F45673">
      <w:pPr>
        <w:pStyle w:val="Textonotapie"/>
        <w:numPr>
          <w:ilvl w:val="0"/>
          <w:numId w:val="12"/>
        </w:numPr>
        <w:tabs>
          <w:tab w:val="left" w:pos="5280"/>
        </w:tabs>
        <w:jc w:val="both"/>
        <w:rPr>
          <w:rFonts w:ascii="Roboto" w:hAnsi="Roboto" w:cs="Arial"/>
          <w:lang w:val="es-ES"/>
        </w:rPr>
      </w:pPr>
      <w:r w:rsidRPr="160E21D2">
        <w:rPr>
          <w:rFonts w:ascii="Roboto" w:hAnsi="Roboto" w:cs="Arial"/>
          <w:b/>
          <w:bCs/>
          <w:lang w:val="es-ES"/>
        </w:rPr>
        <w:t xml:space="preserve">Frenar la influencia económica y política de los más ricos </w:t>
      </w:r>
      <w:r w:rsidRPr="160E21D2">
        <w:rPr>
          <w:rFonts w:ascii="Roboto" w:hAnsi="Roboto" w:cs="Arial"/>
          <w:lang w:val="es-ES"/>
        </w:rPr>
        <w:t xml:space="preserve">prohibiendo a las empresas de combustibles fósiles participar en negociaciones climáticas como la COP, aplicando normativas de sostenibilidad a las empresas y las instituciones financieras, y rechazando acuerdos comerciales y de inversión como el ISDS, que priorizan los intereses de los súper ricos por encima del bien público. </w:t>
      </w:r>
    </w:p>
    <w:p w14:paraId="0869290B" w14:textId="50C04188" w:rsidR="66F45673" w:rsidRPr="00C34E29" w:rsidRDefault="31B0872E" w:rsidP="66F45673">
      <w:pPr>
        <w:pStyle w:val="Textonotapie"/>
        <w:numPr>
          <w:ilvl w:val="0"/>
          <w:numId w:val="12"/>
        </w:numPr>
        <w:tabs>
          <w:tab w:val="left" w:pos="5280"/>
        </w:tabs>
        <w:jc w:val="both"/>
        <w:rPr>
          <w:rFonts w:ascii="Roboto" w:hAnsi="Roboto" w:cs="Arial"/>
          <w:lang w:val="es-ES"/>
        </w:rPr>
      </w:pPr>
      <w:r w:rsidRPr="00C34E29">
        <w:rPr>
          <w:rFonts w:ascii="Roboto" w:hAnsi="Roboto" w:cs="Arial"/>
          <w:b/>
          <w:bCs/>
          <w:lang w:val="es-ES"/>
        </w:rPr>
        <w:t xml:space="preserve">Reforzar la participación de la sociedad civil </w:t>
      </w:r>
      <w:r w:rsidRPr="00C34E29">
        <w:rPr>
          <w:rFonts w:ascii="Roboto" w:hAnsi="Roboto" w:cs="Arial"/>
          <w:lang w:val="es-ES"/>
        </w:rPr>
        <w:t>y los grupos indígenas en las negociaciones sobre el clima y abordar los efectos desiguales del cambio climático.</w:t>
      </w:r>
    </w:p>
    <w:p w14:paraId="6FC60D1A" w14:textId="08DABB58" w:rsidR="66F45673" w:rsidRPr="00C34E29" w:rsidRDefault="0DCFDAEA" w:rsidP="66F45673">
      <w:pPr>
        <w:pStyle w:val="Prrafodelista"/>
        <w:numPr>
          <w:ilvl w:val="0"/>
          <w:numId w:val="12"/>
        </w:numPr>
        <w:rPr>
          <w:rFonts w:ascii="Roboto" w:hAnsi="Roboto"/>
          <w:sz w:val="20"/>
          <w:szCs w:val="20"/>
          <w:lang w:val="es-ES" w:eastAsia="en-US"/>
        </w:rPr>
      </w:pPr>
      <w:r w:rsidRPr="00C34E29">
        <w:rPr>
          <w:rFonts w:ascii="Roboto" w:hAnsi="Roboto" w:cs="Arial"/>
          <w:b/>
          <w:bCs/>
          <w:sz w:val="20"/>
          <w:szCs w:val="20"/>
          <w:lang w:val="es-ES" w:eastAsia="en-US"/>
        </w:rPr>
        <w:t>Adoptar un enfoque de reparto equitativo del presupuesto climático restante</w:t>
      </w:r>
      <w:r w:rsidRPr="00C34E29">
        <w:rPr>
          <w:rFonts w:ascii="Roboto" w:hAnsi="Roboto" w:cs="Arial"/>
          <w:sz w:val="20"/>
          <w:szCs w:val="20"/>
          <w:lang w:val="es-ES" w:eastAsia="en-US"/>
        </w:rPr>
        <w:t>, comprometiéndose con las NDC que reflejen la responsabilidad histórica y la capacidad de actuar, y garantizando que los países ricos proporcionen una financiación climática ambiciosa.</w:t>
      </w:r>
    </w:p>
    <w:p w14:paraId="2C789ECB" w14:textId="31690E37" w:rsidR="66F45673" w:rsidRPr="00C34E29" w:rsidRDefault="3D34A920" w:rsidP="01E34258">
      <w:pPr>
        <w:pStyle w:val="Prrafodelista"/>
        <w:numPr>
          <w:ilvl w:val="0"/>
          <w:numId w:val="12"/>
        </w:numPr>
        <w:rPr>
          <w:rFonts w:ascii="Roboto" w:hAnsi="Roboto"/>
          <w:sz w:val="20"/>
          <w:szCs w:val="20"/>
          <w:lang w:val="es-ES" w:eastAsia="en-US"/>
        </w:rPr>
      </w:pPr>
      <w:r w:rsidRPr="00C34E29">
        <w:rPr>
          <w:rFonts w:ascii="Roboto" w:hAnsi="Roboto" w:cs="Arial"/>
          <w:b/>
          <w:bCs/>
          <w:sz w:val="20"/>
          <w:szCs w:val="20"/>
          <w:lang w:val="es-ES" w:eastAsia="en-US"/>
        </w:rPr>
        <w:t>Construir un sistema económico equitativo que anteponga a las personas y al planeta</w:t>
      </w:r>
      <w:r w:rsidRPr="00C34E29">
        <w:rPr>
          <w:rFonts w:ascii="Roboto" w:hAnsi="Roboto" w:cs="Arial"/>
          <w:sz w:val="20"/>
          <w:szCs w:val="20"/>
          <w:lang w:val="es-ES" w:eastAsia="en-US"/>
        </w:rPr>
        <w:t>, rechazando la economía neoliberal dominante y avanzando hacia una economía basada en la sostenibilidad y la igualdad.</w:t>
      </w:r>
    </w:p>
    <w:p w14:paraId="3E2256E6" w14:textId="77777777" w:rsidR="66F45673" w:rsidRPr="00C34E29" w:rsidRDefault="66F45673" w:rsidP="33429226">
      <w:pPr>
        <w:pStyle w:val="Textonotapie"/>
        <w:tabs>
          <w:tab w:val="left" w:pos="5280"/>
        </w:tabs>
        <w:jc w:val="both"/>
        <w:rPr>
          <w:rFonts w:ascii="Roboto" w:hAnsi="Roboto" w:cs="Arial"/>
          <w:sz w:val="22"/>
          <w:szCs w:val="22"/>
          <w:lang w:val="es-ES"/>
        </w:rPr>
      </w:pPr>
    </w:p>
    <w:p w14:paraId="67F68214" w14:textId="675E6AF8" w:rsidR="66F45673" w:rsidRPr="00C34E29" w:rsidRDefault="3D34A920" w:rsidP="33429226">
      <w:pPr>
        <w:pStyle w:val="Textonotapie"/>
        <w:tabs>
          <w:tab w:val="left" w:pos="5280"/>
        </w:tabs>
        <w:jc w:val="both"/>
        <w:rPr>
          <w:rFonts w:ascii="Roboto" w:hAnsi="Roboto" w:cs="Arial"/>
          <w:b/>
          <w:bCs/>
          <w:lang w:val="es-ES"/>
        </w:rPr>
      </w:pPr>
      <w:r w:rsidRPr="00C34E29">
        <w:rPr>
          <w:rFonts w:ascii="Roboto" w:hAnsi="Roboto" w:cs="Arial"/>
          <w:b/>
          <w:bCs/>
          <w:lang w:val="es-ES"/>
        </w:rPr>
        <w:t>Notas para los editores</w:t>
      </w:r>
    </w:p>
    <w:p w14:paraId="75BEAC2D" w14:textId="068BE895" w:rsidR="3C0B1D7B" w:rsidRPr="00C34E29" w:rsidRDefault="3C0B1D7B" w:rsidP="3C0B1D7B">
      <w:pPr>
        <w:pStyle w:val="Textonotapie"/>
        <w:tabs>
          <w:tab w:val="left" w:pos="5280"/>
        </w:tabs>
        <w:jc w:val="both"/>
        <w:rPr>
          <w:rFonts w:ascii="Roboto" w:hAnsi="Roboto" w:cs="Arial"/>
          <w:lang w:val="es-ES"/>
        </w:rPr>
      </w:pPr>
    </w:p>
    <w:p w14:paraId="7D50E82F" w14:textId="6084EE56" w:rsidR="3C0B1D7B" w:rsidRPr="00C34E29" w:rsidRDefault="34A9D7DD" w:rsidP="34A9D7DD">
      <w:pPr>
        <w:jc w:val="both"/>
        <w:rPr>
          <w:rFonts w:ascii="Aptos" w:eastAsia="Aptos" w:hAnsi="Aptos" w:cs="Aptos"/>
          <w:color w:val="467886"/>
          <w:u w:val="single"/>
          <w:lang w:val="es-ES"/>
        </w:rPr>
      </w:pPr>
      <w:r w:rsidRPr="34A9D7DD">
        <w:rPr>
          <w:rFonts w:ascii="Roboto" w:eastAsia="Roboto" w:hAnsi="Roboto" w:cs="Roboto"/>
          <w:sz w:val="20"/>
          <w:szCs w:val="20"/>
          <w:lang w:val="es-ES"/>
        </w:rPr>
        <w:t xml:space="preserve">Descargar </w:t>
      </w:r>
      <w:r w:rsidRPr="34A9D7DD">
        <w:rPr>
          <w:rFonts w:ascii="Roboto" w:eastAsia="Roboto" w:hAnsi="Roboto" w:cs="Roboto"/>
          <w:i/>
          <w:iCs/>
          <w:sz w:val="20"/>
          <w:szCs w:val="20"/>
          <w:lang w:val="es-ES"/>
        </w:rPr>
        <w:t>«Saqueo climático: cómo unos pocos poderosos están abocando al mundo al desastre</w:t>
      </w:r>
      <w:r w:rsidRPr="34A9D7DD">
        <w:rPr>
          <w:rFonts w:ascii="Roboto" w:eastAsia="Roboto" w:hAnsi="Roboto" w:cs="Roboto"/>
          <w:sz w:val="20"/>
          <w:szCs w:val="20"/>
          <w:lang w:val="es-ES"/>
        </w:rPr>
        <w:t xml:space="preserve">» y la nota metodológica. Visita el </w:t>
      </w:r>
      <w:hyperlink r:id="rId9">
        <w:r w:rsidRPr="34A9D7DD">
          <w:rPr>
            <w:rStyle w:val="Hipervnculo"/>
            <w:rFonts w:ascii="Roboto" w:eastAsia="Roboto" w:hAnsi="Roboto" w:cs="Roboto"/>
            <w:sz w:val="20"/>
            <w:szCs w:val="20"/>
            <w:lang w:val="es-ES"/>
          </w:rPr>
          <w:t>panel de control sobre desigualdad en las emisiones</w:t>
        </w:r>
      </w:hyperlink>
      <w:r w:rsidRPr="34A9D7DD">
        <w:rPr>
          <w:rFonts w:ascii="Roboto" w:eastAsia="Roboto" w:hAnsi="Roboto" w:cs="Roboto"/>
          <w:sz w:val="20"/>
          <w:szCs w:val="20"/>
          <w:lang w:val="es-ES"/>
        </w:rPr>
        <w:t xml:space="preserve"> del Instituto Medioambiental de Estocolmo para consultar los datos más recientes sobre emisiones por grupo de ingresos en más de 190 países.</w:t>
      </w:r>
    </w:p>
    <w:p w14:paraId="2F240F6D" w14:textId="29E225C0" w:rsidR="3C0B1D7B" w:rsidRPr="00C34E29" w:rsidRDefault="3C0B1D7B" w:rsidP="3D34A920">
      <w:pPr>
        <w:jc w:val="both"/>
        <w:rPr>
          <w:rFonts w:ascii="Arial" w:eastAsia="Arial" w:hAnsi="Arial" w:cs="Arial"/>
          <w:sz w:val="21"/>
          <w:szCs w:val="21"/>
          <w:lang w:val="es-ES"/>
        </w:rPr>
      </w:pPr>
    </w:p>
    <w:p w14:paraId="4E022AC8" w14:textId="18B30D58" w:rsidR="3C0B1D7B" w:rsidRPr="00C34E29" w:rsidRDefault="3D34A920" w:rsidP="3D34A920">
      <w:pPr>
        <w:jc w:val="both"/>
        <w:rPr>
          <w:rFonts w:ascii="Arial" w:eastAsia="Arial" w:hAnsi="Arial" w:cs="Arial"/>
          <w:sz w:val="21"/>
          <w:szCs w:val="21"/>
          <w:lang w:val="es-ES"/>
        </w:rPr>
      </w:pPr>
      <w:r w:rsidRPr="00C34E29">
        <w:rPr>
          <w:rFonts w:ascii="Arial" w:eastAsia="Arial" w:hAnsi="Arial" w:cs="Arial"/>
          <w:sz w:val="21"/>
          <w:szCs w:val="21"/>
          <w:lang w:val="es-ES"/>
        </w:rPr>
        <w:t xml:space="preserve">Oxfam ha lanzado una </w:t>
      </w:r>
      <w:hyperlink r:id="rId10">
        <w:r w:rsidRPr="00C34E29">
          <w:rPr>
            <w:rStyle w:val="Hipervnculo"/>
            <w:rFonts w:ascii="Arial" w:eastAsia="Arial" w:hAnsi="Arial" w:cs="Arial"/>
            <w:sz w:val="21"/>
            <w:szCs w:val="21"/>
            <w:lang w:val="es-ES"/>
          </w:rPr>
          <w:t>petición global para que los contaminadores ricos paguen</w:t>
        </w:r>
      </w:hyperlink>
      <w:r w:rsidRPr="00C34E29">
        <w:rPr>
          <w:rFonts w:ascii="Arial" w:eastAsia="Arial" w:hAnsi="Arial" w:cs="Arial"/>
          <w:sz w:val="21"/>
          <w:szCs w:val="21"/>
          <w:lang w:val="es-ES"/>
        </w:rPr>
        <w:t>.</w:t>
      </w:r>
    </w:p>
    <w:p w14:paraId="1A4C8FAF" w14:textId="45D198F0" w:rsidR="66F45673" w:rsidRPr="00C34E29" w:rsidRDefault="66F45673" w:rsidP="0F3B3032">
      <w:pPr>
        <w:tabs>
          <w:tab w:val="left" w:pos="5280"/>
        </w:tabs>
        <w:spacing w:after="240"/>
        <w:jc w:val="both"/>
        <w:rPr>
          <w:rFonts w:ascii="Roboto" w:hAnsi="Roboto" w:cs="Arial"/>
          <w:lang w:val="es-ES"/>
        </w:rPr>
      </w:pPr>
    </w:p>
    <w:p w14:paraId="18A5C307" w14:textId="0ABD032E" w:rsidR="66F45673" w:rsidRPr="00C34E29" w:rsidRDefault="66F45673" w:rsidP="33429226">
      <w:pPr>
        <w:pStyle w:val="Textonotapie"/>
        <w:tabs>
          <w:tab w:val="left" w:pos="5280"/>
        </w:tabs>
        <w:jc w:val="both"/>
        <w:rPr>
          <w:rFonts w:ascii="Roboto" w:hAnsi="Roboto" w:cs="Arial"/>
          <w:lang w:val="es-ES"/>
        </w:rPr>
      </w:pPr>
    </w:p>
    <w:p w14:paraId="145B79D0" w14:textId="77777777" w:rsidR="66F45673" w:rsidRPr="00C34E29" w:rsidRDefault="33429226" w:rsidP="33429226">
      <w:pPr>
        <w:pStyle w:val="Textonotapie"/>
        <w:tabs>
          <w:tab w:val="left" w:pos="5280"/>
        </w:tabs>
        <w:jc w:val="both"/>
        <w:rPr>
          <w:rFonts w:ascii="Roboto" w:hAnsi="Roboto" w:cs="Arial"/>
          <w:b/>
          <w:bCs/>
          <w:lang w:val="es-ES"/>
        </w:rPr>
      </w:pPr>
      <w:r w:rsidRPr="00C34E29">
        <w:rPr>
          <w:rFonts w:ascii="Roboto" w:hAnsi="Roboto" w:cs="Arial"/>
          <w:b/>
          <w:bCs/>
          <w:lang w:val="es-ES"/>
        </w:rPr>
        <w:t>Información de contacto</w:t>
      </w:r>
    </w:p>
    <w:p w14:paraId="4A28EBD1" w14:textId="77777777" w:rsidR="66F45673" w:rsidRPr="00C34E29" w:rsidRDefault="66F45673" w:rsidP="33429226">
      <w:pPr>
        <w:pStyle w:val="Textonotapie"/>
        <w:tabs>
          <w:tab w:val="left" w:pos="5280"/>
        </w:tabs>
        <w:jc w:val="both"/>
        <w:rPr>
          <w:rFonts w:ascii="Roboto" w:hAnsi="Roboto" w:cs="Arial"/>
          <w:lang w:val="es-ES"/>
        </w:rPr>
      </w:pPr>
    </w:p>
    <w:p w14:paraId="046B554B" w14:textId="198953EB" w:rsidR="66F45673" w:rsidRDefault="33429226" w:rsidP="33429226">
      <w:pPr>
        <w:pStyle w:val="Textonotapie"/>
        <w:tabs>
          <w:tab w:val="left" w:pos="5280"/>
        </w:tabs>
        <w:jc w:val="both"/>
        <w:rPr>
          <w:rFonts w:ascii="Roboto" w:hAnsi="Roboto" w:cs="Arial"/>
          <w:lang w:val="es-ES"/>
        </w:rPr>
      </w:pPr>
      <w:r w:rsidRPr="00C34E29">
        <w:rPr>
          <w:rFonts w:ascii="Roboto" w:hAnsi="Roboto" w:cs="Arial"/>
          <w:lang w:val="es-ES"/>
        </w:rPr>
        <w:t xml:space="preserve">Cass </w:t>
      </w:r>
      <w:proofErr w:type="spellStart"/>
      <w:r w:rsidRPr="00C34E29">
        <w:rPr>
          <w:rFonts w:ascii="Roboto" w:hAnsi="Roboto" w:cs="Arial"/>
          <w:lang w:val="es-ES"/>
        </w:rPr>
        <w:t>Hebron</w:t>
      </w:r>
      <w:proofErr w:type="spellEnd"/>
      <w:r w:rsidRPr="00C34E29">
        <w:rPr>
          <w:rFonts w:ascii="Roboto" w:hAnsi="Roboto" w:cs="Arial"/>
          <w:lang w:val="es-ES"/>
        </w:rPr>
        <w:t xml:space="preserve"> en Bruselas | cass.hebron@oxfam.org | +32485913688</w:t>
      </w:r>
    </w:p>
    <w:p w14:paraId="30DF9D61" w14:textId="26E00272" w:rsidR="00343333" w:rsidRPr="00C34E29" w:rsidRDefault="00343333" w:rsidP="33429226">
      <w:pPr>
        <w:pStyle w:val="Textonotapie"/>
        <w:tabs>
          <w:tab w:val="left" w:pos="5280"/>
        </w:tabs>
        <w:jc w:val="both"/>
        <w:rPr>
          <w:rFonts w:ascii="Roboto" w:hAnsi="Roboto" w:cs="Arial"/>
          <w:lang w:val="es-ES"/>
        </w:rPr>
      </w:pPr>
      <w:r>
        <w:rPr>
          <w:rFonts w:ascii="Roboto" w:hAnsi="Roboto" w:cs="Arial"/>
          <w:lang w:val="es-ES"/>
        </w:rPr>
        <w:t xml:space="preserve">Arantxa López en México I </w:t>
      </w:r>
      <w:hyperlink r:id="rId11" w:history="1">
        <w:r w:rsidRPr="00336426">
          <w:rPr>
            <w:rStyle w:val="Hipervnculo"/>
            <w:rFonts w:ascii="Roboto" w:hAnsi="Roboto" w:cs="Arial"/>
            <w:lang w:val="es-ES"/>
          </w:rPr>
          <w:t>prensa@oxfammexico.org</w:t>
        </w:r>
      </w:hyperlink>
      <w:r>
        <w:rPr>
          <w:rFonts w:ascii="Roboto" w:hAnsi="Roboto" w:cs="Arial"/>
          <w:lang w:val="es-ES"/>
        </w:rPr>
        <w:t xml:space="preserve"> I +52</w:t>
      </w:r>
      <w:r w:rsidRPr="00343333">
        <w:t xml:space="preserve"> </w:t>
      </w:r>
      <w:r w:rsidRPr="00343333">
        <w:rPr>
          <w:rFonts w:ascii="Roboto" w:hAnsi="Roboto" w:cs="Arial"/>
          <w:lang w:val="es-ES"/>
        </w:rPr>
        <w:t>1 55 3932 0694</w:t>
      </w:r>
    </w:p>
    <w:p w14:paraId="01127970" w14:textId="1840956F" w:rsidR="00AD0BA1" w:rsidRPr="00C34E29" w:rsidRDefault="00AD0BA1" w:rsidP="01E34258">
      <w:pPr>
        <w:rPr>
          <w:rFonts w:ascii="Roboto" w:hAnsi="Roboto" w:cs="Arial"/>
          <w:b/>
          <w:sz w:val="40"/>
          <w:szCs w:val="40"/>
          <w:lang w:val="es-ES"/>
        </w:rPr>
      </w:pPr>
    </w:p>
    <w:sectPr w:rsidR="00AD0BA1" w:rsidRPr="00C34E29" w:rsidSect="005A30FF">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2E630" w14:textId="77777777" w:rsidR="004E1D05" w:rsidRDefault="004E1D05">
      <w:r>
        <w:separator/>
      </w:r>
    </w:p>
  </w:endnote>
  <w:endnote w:type="continuationSeparator" w:id="0">
    <w:p w14:paraId="5FFFD8BF" w14:textId="77777777" w:rsidR="004E1D05" w:rsidRDefault="004E1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Aptos">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3A1FE" w14:textId="77777777" w:rsidR="004E1D05" w:rsidRDefault="004E1D05">
      <w:r>
        <w:separator/>
      </w:r>
    </w:p>
  </w:footnote>
  <w:footnote w:type="continuationSeparator" w:id="0">
    <w:p w14:paraId="734B51AC" w14:textId="77777777" w:rsidR="004E1D05" w:rsidRDefault="004E1D05">
      <w:r>
        <w:continuationSeparator/>
      </w:r>
    </w:p>
  </w:footnote>
</w:footnotes>
</file>

<file path=word/intelligence.xml><?xml version="1.0" encoding="utf-8"?>
<int:Intelligence xmlns:int="http://schemas.microsoft.com/office/intelligence/2019/intelligence">
  <int:IntelligenceSettings/>
  <int:Manifest>
    <int:WordHash hashCode="bdD+gAEUW+xKEt" id="qjO3GiwV"/>
  </int:Manifest>
  <int:Observations>
    <int:Content id="qjO3GiwV">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383C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E4FC5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74E338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6BE624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74071C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8A2A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EA618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4E663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6670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72401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E02E6D"/>
    <w:multiLevelType w:val="hybridMultilevel"/>
    <w:tmpl w:val="7EEEF45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59D91B23"/>
    <w:multiLevelType w:val="hybridMultilevel"/>
    <w:tmpl w:val="6472D0A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416056308">
    <w:abstractNumId w:val="9"/>
  </w:num>
  <w:num w:numId="2" w16cid:durableId="659505240">
    <w:abstractNumId w:val="7"/>
  </w:num>
  <w:num w:numId="3" w16cid:durableId="590436326">
    <w:abstractNumId w:val="6"/>
  </w:num>
  <w:num w:numId="4" w16cid:durableId="888539320">
    <w:abstractNumId w:val="5"/>
  </w:num>
  <w:num w:numId="5" w16cid:durableId="1548564624">
    <w:abstractNumId w:val="4"/>
  </w:num>
  <w:num w:numId="6" w16cid:durableId="1546866030">
    <w:abstractNumId w:val="8"/>
  </w:num>
  <w:num w:numId="7" w16cid:durableId="488443476">
    <w:abstractNumId w:val="3"/>
  </w:num>
  <w:num w:numId="8" w16cid:durableId="1796563453">
    <w:abstractNumId w:val="2"/>
  </w:num>
  <w:num w:numId="9" w16cid:durableId="152065237">
    <w:abstractNumId w:val="1"/>
  </w:num>
  <w:num w:numId="10" w16cid:durableId="247230169">
    <w:abstractNumId w:val="0"/>
  </w:num>
  <w:num w:numId="11" w16cid:durableId="2059357087">
    <w:abstractNumId w:val="11"/>
  </w:num>
  <w:num w:numId="12" w16cid:durableId="32911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77F"/>
    <w:rsid w:val="000142BC"/>
    <w:rsid w:val="000246BD"/>
    <w:rsid w:val="00035C14"/>
    <w:rsid w:val="0003768A"/>
    <w:rsid w:val="0005087C"/>
    <w:rsid w:val="00050947"/>
    <w:rsid w:val="000517DC"/>
    <w:rsid w:val="000560E1"/>
    <w:rsid w:val="000C2B77"/>
    <w:rsid w:val="000D11AB"/>
    <w:rsid w:val="000D392B"/>
    <w:rsid w:val="000D76C0"/>
    <w:rsid w:val="000E1F6F"/>
    <w:rsid w:val="000E7A08"/>
    <w:rsid w:val="001019AD"/>
    <w:rsid w:val="00106E4A"/>
    <w:rsid w:val="00111BC1"/>
    <w:rsid w:val="00112EA0"/>
    <w:rsid w:val="00113847"/>
    <w:rsid w:val="00115EFF"/>
    <w:rsid w:val="00121CE9"/>
    <w:rsid w:val="00125C6E"/>
    <w:rsid w:val="001352C3"/>
    <w:rsid w:val="00137BE7"/>
    <w:rsid w:val="00164970"/>
    <w:rsid w:val="00173D4F"/>
    <w:rsid w:val="001A79B7"/>
    <w:rsid w:val="001C6C4C"/>
    <w:rsid w:val="001D5691"/>
    <w:rsid w:val="001E158B"/>
    <w:rsid w:val="001E1CA2"/>
    <w:rsid w:val="001E4B2B"/>
    <w:rsid w:val="001F6D95"/>
    <w:rsid w:val="001F7282"/>
    <w:rsid w:val="00205436"/>
    <w:rsid w:val="0021243F"/>
    <w:rsid w:val="002206E2"/>
    <w:rsid w:val="002306D3"/>
    <w:rsid w:val="002537B7"/>
    <w:rsid w:val="002545CD"/>
    <w:rsid w:val="002565B3"/>
    <w:rsid w:val="00264828"/>
    <w:rsid w:val="00280F71"/>
    <w:rsid w:val="002B0504"/>
    <w:rsid w:val="002B0912"/>
    <w:rsid w:val="002C670A"/>
    <w:rsid w:val="002D73BF"/>
    <w:rsid w:val="002F1124"/>
    <w:rsid w:val="002F3748"/>
    <w:rsid w:val="002F7842"/>
    <w:rsid w:val="00301547"/>
    <w:rsid w:val="00303058"/>
    <w:rsid w:val="003140BF"/>
    <w:rsid w:val="00314B23"/>
    <w:rsid w:val="00326D51"/>
    <w:rsid w:val="00335EE1"/>
    <w:rsid w:val="00342B08"/>
    <w:rsid w:val="00343333"/>
    <w:rsid w:val="0035136C"/>
    <w:rsid w:val="00353FDC"/>
    <w:rsid w:val="00360090"/>
    <w:rsid w:val="00367009"/>
    <w:rsid w:val="00377096"/>
    <w:rsid w:val="003A1B0D"/>
    <w:rsid w:val="003A2102"/>
    <w:rsid w:val="003C03B2"/>
    <w:rsid w:val="003C2EC2"/>
    <w:rsid w:val="003E03BC"/>
    <w:rsid w:val="003E18EC"/>
    <w:rsid w:val="0040278E"/>
    <w:rsid w:val="00412DE9"/>
    <w:rsid w:val="00416C56"/>
    <w:rsid w:val="00425065"/>
    <w:rsid w:val="0042616D"/>
    <w:rsid w:val="00432042"/>
    <w:rsid w:val="0044272E"/>
    <w:rsid w:val="00442F7C"/>
    <w:rsid w:val="00450DFC"/>
    <w:rsid w:val="00452054"/>
    <w:rsid w:val="0046287E"/>
    <w:rsid w:val="00462CCE"/>
    <w:rsid w:val="00465E09"/>
    <w:rsid w:val="00482A48"/>
    <w:rsid w:val="00490C49"/>
    <w:rsid w:val="00490E13"/>
    <w:rsid w:val="004940DD"/>
    <w:rsid w:val="00495C30"/>
    <w:rsid w:val="00497DE9"/>
    <w:rsid w:val="004A0294"/>
    <w:rsid w:val="004A0C33"/>
    <w:rsid w:val="004A30F7"/>
    <w:rsid w:val="004A32B5"/>
    <w:rsid w:val="004A5DEB"/>
    <w:rsid w:val="004D7491"/>
    <w:rsid w:val="004E1D05"/>
    <w:rsid w:val="004F32E0"/>
    <w:rsid w:val="004F5365"/>
    <w:rsid w:val="004F5AB8"/>
    <w:rsid w:val="00506E36"/>
    <w:rsid w:val="00511253"/>
    <w:rsid w:val="00511F20"/>
    <w:rsid w:val="00513048"/>
    <w:rsid w:val="005200B2"/>
    <w:rsid w:val="0052472B"/>
    <w:rsid w:val="0052565D"/>
    <w:rsid w:val="00526721"/>
    <w:rsid w:val="00531E82"/>
    <w:rsid w:val="00536447"/>
    <w:rsid w:val="005466A2"/>
    <w:rsid w:val="00546D18"/>
    <w:rsid w:val="0055047D"/>
    <w:rsid w:val="00561B2A"/>
    <w:rsid w:val="005708E0"/>
    <w:rsid w:val="00571EAE"/>
    <w:rsid w:val="005A30FF"/>
    <w:rsid w:val="005C334C"/>
    <w:rsid w:val="005E3506"/>
    <w:rsid w:val="005E52EA"/>
    <w:rsid w:val="005E55B2"/>
    <w:rsid w:val="00600DEC"/>
    <w:rsid w:val="006013FD"/>
    <w:rsid w:val="00602F36"/>
    <w:rsid w:val="00612C87"/>
    <w:rsid w:val="006149D6"/>
    <w:rsid w:val="006212CD"/>
    <w:rsid w:val="006567FF"/>
    <w:rsid w:val="00662790"/>
    <w:rsid w:val="00665714"/>
    <w:rsid w:val="0067005E"/>
    <w:rsid w:val="006779EA"/>
    <w:rsid w:val="00682982"/>
    <w:rsid w:val="00682ECE"/>
    <w:rsid w:val="006901EA"/>
    <w:rsid w:val="0069446A"/>
    <w:rsid w:val="006D0AE4"/>
    <w:rsid w:val="006D186B"/>
    <w:rsid w:val="006D21B2"/>
    <w:rsid w:val="006D79D0"/>
    <w:rsid w:val="006D7FF4"/>
    <w:rsid w:val="00700BB4"/>
    <w:rsid w:val="007010E9"/>
    <w:rsid w:val="007028FD"/>
    <w:rsid w:val="00704CA1"/>
    <w:rsid w:val="00706CAE"/>
    <w:rsid w:val="0073256A"/>
    <w:rsid w:val="00732966"/>
    <w:rsid w:val="007404D6"/>
    <w:rsid w:val="007465C4"/>
    <w:rsid w:val="00757259"/>
    <w:rsid w:val="00780D62"/>
    <w:rsid w:val="007A04FD"/>
    <w:rsid w:val="007D07E1"/>
    <w:rsid w:val="007E6092"/>
    <w:rsid w:val="007F22D7"/>
    <w:rsid w:val="00805617"/>
    <w:rsid w:val="00817521"/>
    <w:rsid w:val="0083604C"/>
    <w:rsid w:val="00837716"/>
    <w:rsid w:val="008561E8"/>
    <w:rsid w:val="00856FFB"/>
    <w:rsid w:val="008642E3"/>
    <w:rsid w:val="00881871"/>
    <w:rsid w:val="00885D0B"/>
    <w:rsid w:val="00891EBD"/>
    <w:rsid w:val="008A4223"/>
    <w:rsid w:val="008A4C46"/>
    <w:rsid w:val="008C0026"/>
    <w:rsid w:val="008C2ECB"/>
    <w:rsid w:val="008E2544"/>
    <w:rsid w:val="008E7D5D"/>
    <w:rsid w:val="008F18BA"/>
    <w:rsid w:val="008F6297"/>
    <w:rsid w:val="00913DE1"/>
    <w:rsid w:val="009142A2"/>
    <w:rsid w:val="009201DF"/>
    <w:rsid w:val="00920FC1"/>
    <w:rsid w:val="00923EC7"/>
    <w:rsid w:val="00924037"/>
    <w:rsid w:val="0093A54D"/>
    <w:rsid w:val="00952AF2"/>
    <w:rsid w:val="009552D5"/>
    <w:rsid w:val="009616E4"/>
    <w:rsid w:val="00981B19"/>
    <w:rsid w:val="00983F80"/>
    <w:rsid w:val="009A3B1B"/>
    <w:rsid w:val="009D031E"/>
    <w:rsid w:val="009D2424"/>
    <w:rsid w:val="009D65E9"/>
    <w:rsid w:val="009F2D0D"/>
    <w:rsid w:val="009F5CE2"/>
    <w:rsid w:val="00A05FE8"/>
    <w:rsid w:val="00A07F84"/>
    <w:rsid w:val="00A1615B"/>
    <w:rsid w:val="00A2185C"/>
    <w:rsid w:val="00A31376"/>
    <w:rsid w:val="00A5432B"/>
    <w:rsid w:val="00A67F4A"/>
    <w:rsid w:val="00A92FAD"/>
    <w:rsid w:val="00A95436"/>
    <w:rsid w:val="00AD0BA1"/>
    <w:rsid w:val="00AD21DC"/>
    <w:rsid w:val="00AD59C3"/>
    <w:rsid w:val="00AE28E6"/>
    <w:rsid w:val="00AE5440"/>
    <w:rsid w:val="00AF4CAB"/>
    <w:rsid w:val="00B22F45"/>
    <w:rsid w:val="00B26587"/>
    <w:rsid w:val="00B50941"/>
    <w:rsid w:val="00B547DF"/>
    <w:rsid w:val="00B72A58"/>
    <w:rsid w:val="00B7773E"/>
    <w:rsid w:val="00B92734"/>
    <w:rsid w:val="00B93FD9"/>
    <w:rsid w:val="00BB23A7"/>
    <w:rsid w:val="00BB7BC3"/>
    <w:rsid w:val="00BC540C"/>
    <w:rsid w:val="00BD7B6C"/>
    <w:rsid w:val="00BF7EEC"/>
    <w:rsid w:val="00C26689"/>
    <w:rsid w:val="00C3465F"/>
    <w:rsid w:val="00C34E29"/>
    <w:rsid w:val="00C40E2F"/>
    <w:rsid w:val="00C62799"/>
    <w:rsid w:val="00C76E4F"/>
    <w:rsid w:val="00C815D2"/>
    <w:rsid w:val="00C83E74"/>
    <w:rsid w:val="00CB146B"/>
    <w:rsid w:val="00CB35DD"/>
    <w:rsid w:val="00CB650D"/>
    <w:rsid w:val="00CC70CC"/>
    <w:rsid w:val="00CE2B3D"/>
    <w:rsid w:val="00CE3074"/>
    <w:rsid w:val="00D068EE"/>
    <w:rsid w:val="00D25EE1"/>
    <w:rsid w:val="00D37392"/>
    <w:rsid w:val="00D5577F"/>
    <w:rsid w:val="00D56219"/>
    <w:rsid w:val="00D7645C"/>
    <w:rsid w:val="00DB76CF"/>
    <w:rsid w:val="00DC3F45"/>
    <w:rsid w:val="00DC72F9"/>
    <w:rsid w:val="00DE20A2"/>
    <w:rsid w:val="00DF208E"/>
    <w:rsid w:val="00E05C89"/>
    <w:rsid w:val="00E42470"/>
    <w:rsid w:val="00E51506"/>
    <w:rsid w:val="00E728C9"/>
    <w:rsid w:val="00E80914"/>
    <w:rsid w:val="00E92456"/>
    <w:rsid w:val="00EB56B7"/>
    <w:rsid w:val="00EE1E7E"/>
    <w:rsid w:val="00F07216"/>
    <w:rsid w:val="00F1541A"/>
    <w:rsid w:val="00F17A74"/>
    <w:rsid w:val="00F3753A"/>
    <w:rsid w:val="00FA0A23"/>
    <w:rsid w:val="00FA7A70"/>
    <w:rsid w:val="00FD7B1C"/>
    <w:rsid w:val="00FF73BF"/>
    <w:rsid w:val="01E34258"/>
    <w:rsid w:val="02F94EC5"/>
    <w:rsid w:val="0355348A"/>
    <w:rsid w:val="04CB656E"/>
    <w:rsid w:val="071B7D64"/>
    <w:rsid w:val="08741B5E"/>
    <w:rsid w:val="09A8DAC2"/>
    <w:rsid w:val="0C56E767"/>
    <w:rsid w:val="0D2C4705"/>
    <w:rsid w:val="0DCFDAEA"/>
    <w:rsid w:val="0F3B3032"/>
    <w:rsid w:val="13458715"/>
    <w:rsid w:val="14DB653D"/>
    <w:rsid w:val="160E21D2"/>
    <w:rsid w:val="1727C944"/>
    <w:rsid w:val="180638E3"/>
    <w:rsid w:val="1843AC46"/>
    <w:rsid w:val="19B18D3F"/>
    <w:rsid w:val="1ACB09F8"/>
    <w:rsid w:val="1ACED125"/>
    <w:rsid w:val="1BE217F8"/>
    <w:rsid w:val="1C5CC5AD"/>
    <w:rsid w:val="1D27D5A6"/>
    <w:rsid w:val="1F557F8B"/>
    <w:rsid w:val="20202F1C"/>
    <w:rsid w:val="22360176"/>
    <w:rsid w:val="24AFD90D"/>
    <w:rsid w:val="25140238"/>
    <w:rsid w:val="25572966"/>
    <w:rsid w:val="264AF18D"/>
    <w:rsid w:val="277BE3BD"/>
    <w:rsid w:val="2A2E4AB9"/>
    <w:rsid w:val="2A857D98"/>
    <w:rsid w:val="2AD9EFF3"/>
    <w:rsid w:val="2EA4E617"/>
    <w:rsid w:val="2F610CE6"/>
    <w:rsid w:val="301179BD"/>
    <w:rsid w:val="3110B34A"/>
    <w:rsid w:val="31B0872E"/>
    <w:rsid w:val="31BAC86C"/>
    <w:rsid w:val="31CEC567"/>
    <w:rsid w:val="33429226"/>
    <w:rsid w:val="33995D7A"/>
    <w:rsid w:val="34254B4D"/>
    <w:rsid w:val="34A9D7DD"/>
    <w:rsid w:val="3675409D"/>
    <w:rsid w:val="37988DF7"/>
    <w:rsid w:val="3BC8A694"/>
    <w:rsid w:val="3C0B1D7B"/>
    <w:rsid w:val="3C436DA5"/>
    <w:rsid w:val="3C54AFE7"/>
    <w:rsid w:val="3CD7E9F4"/>
    <w:rsid w:val="3D34A920"/>
    <w:rsid w:val="3D7FE942"/>
    <w:rsid w:val="3F4737F1"/>
    <w:rsid w:val="3F6F88D4"/>
    <w:rsid w:val="43A9E37B"/>
    <w:rsid w:val="44784999"/>
    <w:rsid w:val="44858747"/>
    <w:rsid w:val="46E97792"/>
    <w:rsid w:val="4807483E"/>
    <w:rsid w:val="499EEC8C"/>
    <w:rsid w:val="4C187E6C"/>
    <w:rsid w:val="4C2B78C8"/>
    <w:rsid w:val="4C31E339"/>
    <w:rsid w:val="4CCB433D"/>
    <w:rsid w:val="4CF1DC8F"/>
    <w:rsid w:val="4D5E208C"/>
    <w:rsid w:val="4DC688C2"/>
    <w:rsid w:val="4E6EF5C4"/>
    <w:rsid w:val="4EBA82B4"/>
    <w:rsid w:val="4F37B65B"/>
    <w:rsid w:val="5251AA53"/>
    <w:rsid w:val="52FE0F6D"/>
    <w:rsid w:val="553009FA"/>
    <w:rsid w:val="56F1D06F"/>
    <w:rsid w:val="576A48D4"/>
    <w:rsid w:val="589105E6"/>
    <w:rsid w:val="5B4D3BD3"/>
    <w:rsid w:val="5C012102"/>
    <w:rsid w:val="5FAA32EC"/>
    <w:rsid w:val="5FBD0B85"/>
    <w:rsid w:val="6061271F"/>
    <w:rsid w:val="609ABE63"/>
    <w:rsid w:val="61649939"/>
    <w:rsid w:val="643D135C"/>
    <w:rsid w:val="64442649"/>
    <w:rsid w:val="66F45673"/>
    <w:rsid w:val="69A91FA5"/>
    <w:rsid w:val="6AC2FCAE"/>
    <w:rsid w:val="6B53DEFC"/>
    <w:rsid w:val="70232B48"/>
    <w:rsid w:val="71658DF6"/>
    <w:rsid w:val="738C3BF7"/>
    <w:rsid w:val="73AE62DD"/>
    <w:rsid w:val="779EA2F3"/>
    <w:rsid w:val="77CE6B84"/>
    <w:rsid w:val="7838F655"/>
    <w:rsid w:val="7AC292E6"/>
    <w:rsid w:val="7AF84C08"/>
    <w:rsid w:val="7B938883"/>
    <w:rsid w:val="7C29976C"/>
    <w:rsid w:val="7D320F58"/>
    <w:rsid w:val="7E35E9BF"/>
  </w:rsids>
  <m:mathPr>
    <m:mathFont m:val="Cambria Math"/>
    <m:brkBin m:val="before"/>
    <m:brkBinSub m:val="--"/>
    <m:smallFrac m:val="0"/>
    <m:dispDef/>
    <m:lMargin m:val="0"/>
    <m:rMargin m:val="0"/>
    <m:defJc m:val="centerGroup"/>
    <m:wrapIndent m:val="1440"/>
    <m:intLim m:val="subSup"/>
    <m:naryLim m:val="undOvr"/>
  </m:mathPr>
  <w:themeFontLang w:val="es-P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5123CA"/>
  <w15:chartTrackingRefBased/>
  <w15:docId w15:val="{B1B12ACB-C31B-4825-A4B8-6A887BB13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PE" w:eastAsia="es-P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GB"/>
    </w:rPr>
  </w:style>
  <w:style w:type="paragraph" w:styleId="Ttulo1">
    <w:name w:val="heading 1"/>
    <w:basedOn w:val="Normal"/>
    <w:next w:val="Normal"/>
    <w:qFormat/>
    <w:rsid w:val="00885D0B"/>
    <w:pPr>
      <w:keepNext/>
      <w:spacing w:before="240" w:after="60"/>
      <w:outlineLvl w:val="0"/>
    </w:pPr>
    <w:rPr>
      <w:rFonts w:ascii="Arial" w:hAnsi="Arial" w:cs="Arial"/>
      <w:b/>
      <w:bCs/>
      <w:kern w:val="32"/>
      <w:sz w:val="32"/>
      <w:szCs w:val="32"/>
    </w:rPr>
  </w:style>
  <w:style w:type="paragraph" w:styleId="Ttulo3">
    <w:name w:val="heading 3"/>
    <w:basedOn w:val="Normal"/>
    <w:next w:val="Normal"/>
    <w:qFormat/>
    <w:rsid w:val="00885D0B"/>
    <w:pPr>
      <w:keepNext/>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D5577F"/>
    <w:pPr>
      <w:tabs>
        <w:tab w:val="center" w:pos="4153"/>
        <w:tab w:val="right" w:pos="8306"/>
      </w:tabs>
    </w:pPr>
  </w:style>
  <w:style w:type="paragraph" w:styleId="Piedepgina">
    <w:name w:val="footer"/>
    <w:basedOn w:val="Normal"/>
    <w:rsid w:val="00D5577F"/>
    <w:pPr>
      <w:tabs>
        <w:tab w:val="center" w:pos="4153"/>
        <w:tab w:val="right" w:pos="8306"/>
      </w:tabs>
    </w:pPr>
  </w:style>
  <w:style w:type="character" w:styleId="Hipervnculo">
    <w:name w:val="Hyperlink"/>
    <w:rsid w:val="00F17A74"/>
    <w:rPr>
      <w:color w:val="0000FF"/>
      <w:u w:val="single"/>
    </w:rPr>
  </w:style>
  <w:style w:type="paragraph" w:styleId="Textonotapie">
    <w:name w:val="footnote text"/>
    <w:basedOn w:val="Normal"/>
    <w:link w:val="TextonotapieCar"/>
    <w:semiHidden/>
    <w:rsid w:val="000D11AB"/>
    <w:rPr>
      <w:sz w:val="20"/>
      <w:szCs w:val="20"/>
      <w:lang w:val="en-US" w:eastAsia="en-US"/>
    </w:rPr>
  </w:style>
  <w:style w:type="character" w:styleId="Refdecomentario">
    <w:name w:val="annotation reference"/>
    <w:rsid w:val="00837716"/>
    <w:rPr>
      <w:sz w:val="16"/>
      <w:szCs w:val="16"/>
    </w:rPr>
  </w:style>
  <w:style w:type="paragraph" w:styleId="Textocomentario">
    <w:name w:val="annotation text"/>
    <w:basedOn w:val="Normal"/>
    <w:link w:val="TextocomentarioCar"/>
    <w:rsid w:val="00837716"/>
    <w:rPr>
      <w:sz w:val="20"/>
      <w:szCs w:val="20"/>
    </w:rPr>
  </w:style>
  <w:style w:type="character" w:customStyle="1" w:styleId="TextocomentarioCar">
    <w:name w:val="Texto comentario Car"/>
    <w:link w:val="Textocomentario"/>
    <w:rsid w:val="00837716"/>
    <w:rPr>
      <w:lang w:val="en-GB" w:eastAsia="en-GB"/>
    </w:rPr>
  </w:style>
  <w:style w:type="paragraph" w:styleId="Asuntodelcomentario">
    <w:name w:val="annotation subject"/>
    <w:basedOn w:val="Textocomentario"/>
    <w:next w:val="Textocomentario"/>
    <w:link w:val="AsuntodelcomentarioCar"/>
    <w:rsid w:val="00837716"/>
    <w:rPr>
      <w:b/>
      <w:bCs/>
    </w:rPr>
  </w:style>
  <w:style w:type="character" w:customStyle="1" w:styleId="AsuntodelcomentarioCar">
    <w:name w:val="Asunto del comentario Car"/>
    <w:link w:val="Asuntodelcomentario"/>
    <w:rsid w:val="00837716"/>
    <w:rPr>
      <w:b/>
      <w:bCs/>
      <w:lang w:val="en-GB" w:eastAsia="en-GB"/>
    </w:rPr>
  </w:style>
  <w:style w:type="paragraph" w:styleId="Textodeglobo">
    <w:name w:val="Balloon Text"/>
    <w:basedOn w:val="Normal"/>
    <w:link w:val="TextodegloboCar"/>
    <w:rsid w:val="00837716"/>
    <w:rPr>
      <w:rFonts w:ascii="Segoe UI" w:hAnsi="Segoe UI" w:cs="Segoe UI"/>
      <w:sz w:val="18"/>
      <w:szCs w:val="18"/>
    </w:rPr>
  </w:style>
  <w:style w:type="character" w:customStyle="1" w:styleId="TextodegloboCar">
    <w:name w:val="Texto de globo Car"/>
    <w:link w:val="Textodeglobo"/>
    <w:rsid w:val="00837716"/>
    <w:rPr>
      <w:rFonts w:ascii="Segoe UI" w:hAnsi="Segoe UI" w:cs="Segoe UI"/>
      <w:sz w:val="18"/>
      <w:szCs w:val="18"/>
      <w:lang w:val="en-GB" w:eastAsia="en-GB"/>
    </w:rPr>
  </w:style>
  <w:style w:type="table" w:styleId="Tablaconcuadrcula">
    <w:name w:val="Table Grid"/>
    <w:basedOn w:val="Tablanormal"/>
    <w:rsid w:val="008377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757259"/>
    <w:pPr>
      <w:spacing w:before="100" w:beforeAutospacing="1" w:after="100" w:afterAutospacing="1"/>
    </w:pPr>
    <w:rPr>
      <w:rFonts w:ascii="Calibri" w:eastAsiaTheme="minorHAnsi" w:hAnsi="Calibri" w:cs="Calibri"/>
      <w:sz w:val="22"/>
      <w:szCs w:val="22"/>
    </w:rPr>
  </w:style>
  <w:style w:type="character" w:customStyle="1" w:styleId="normaltextrun">
    <w:name w:val="normaltextrun"/>
    <w:basedOn w:val="Fuentedeprrafopredeter"/>
    <w:rsid w:val="00757259"/>
  </w:style>
  <w:style w:type="character" w:customStyle="1" w:styleId="spellingerror">
    <w:name w:val="spellingerror"/>
    <w:basedOn w:val="Fuentedeprrafopredeter"/>
    <w:rsid w:val="00757259"/>
  </w:style>
  <w:style w:type="character" w:customStyle="1" w:styleId="eop">
    <w:name w:val="eop"/>
    <w:basedOn w:val="Fuentedeprrafopredeter"/>
    <w:rsid w:val="00757259"/>
  </w:style>
  <w:style w:type="character" w:styleId="Hipervnculovisitado">
    <w:name w:val="FollowedHyperlink"/>
    <w:basedOn w:val="Fuentedeprrafopredeter"/>
    <w:rsid w:val="008C2ECB"/>
    <w:rPr>
      <w:color w:val="954F72" w:themeColor="followedHyperlink"/>
      <w:u w:val="single"/>
    </w:rPr>
  </w:style>
  <w:style w:type="paragraph" w:styleId="Revisin">
    <w:name w:val="Revision"/>
    <w:hidden/>
    <w:uiPriority w:val="99"/>
    <w:semiHidden/>
    <w:rsid w:val="00C62799"/>
    <w:rPr>
      <w:sz w:val="24"/>
      <w:szCs w:val="24"/>
      <w:lang w:val="en-GB" w:eastAsia="en-GB"/>
    </w:rPr>
  </w:style>
  <w:style w:type="paragraph" w:styleId="Prrafodelista">
    <w:name w:val="List Paragraph"/>
    <w:basedOn w:val="Normal"/>
    <w:uiPriority w:val="34"/>
    <w:qFormat/>
    <w:rsid w:val="00C62799"/>
    <w:pPr>
      <w:ind w:left="720"/>
      <w:contextualSpacing/>
    </w:pPr>
  </w:style>
  <w:style w:type="character" w:customStyle="1" w:styleId="TextonotapieCar">
    <w:name w:val="Texto nota pie Car"/>
    <w:basedOn w:val="Fuentedeprrafopredeter"/>
    <w:link w:val="Textonotapie"/>
    <w:semiHidden/>
    <w:rsid w:val="000E7A08"/>
    <w:rPr>
      <w:lang w:val="en-US" w:eastAsia="en-US"/>
    </w:rPr>
  </w:style>
  <w:style w:type="character" w:styleId="Mencinsinresolver">
    <w:name w:val="Unresolved Mention"/>
    <w:basedOn w:val="Fuentedeprrafopredeter"/>
    <w:uiPriority w:val="99"/>
    <w:semiHidden/>
    <w:unhideWhenUsed/>
    <w:rsid w:val="003433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3897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7caf31aef2024f68" Type="http://schemas.microsoft.com/office/2019/09/relationships/intelligence" Target="intelligenc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ensa@oxfammexico.org" TargetMode="External"/><Relationship Id="rId5" Type="http://schemas.openxmlformats.org/officeDocument/2006/relationships/webSettings" Target="webSettings.xml"/><Relationship Id="rId10" Type="http://schemas.openxmlformats.org/officeDocument/2006/relationships/hyperlink" Target="https://makerichpolluterspay.org/" TargetMode="External"/><Relationship Id="rId4" Type="http://schemas.openxmlformats.org/officeDocument/2006/relationships/settings" Target="settings.xml"/><Relationship Id="rId9" Type="http://schemas.openxmlformats.org/officeDocument/2006/relationships/hyperlink" Target="https://emissions-inequality.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14BEC-829E-484E-9640-8B5D8F015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1151</Words>
  <Characters>6336</Characters>
  <Application>Microsoft Office Word</Application>
  <DocSecurity>0</DocSecurity>
  <Lines>52</Lines>
  <Paragraphs>14</Paragraphs>
  <ScaleCrop>false</ScaleCrop>
  <Company>OXFAM</Company>
  <LinksUpToDate>false</LinksUpToDate>
  <CharactersWithSpaces>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mgrainger</dc:creator>
  <cp:keywords>, docId:462874B7254F3389205A475D4A661DE9</cp:keywords>
  <dc:description/>
  <cp:lastModifiedBy>Arantxa Fernanda López Alvarado</cp:lastModifiedBy>
  <cp:revision>2</cp:revision>
  <cp:lastPrinted>2009-06-19T22:43:00Z</cp:lastPrinted>
  <dcterms:created xsi:type="dcterms:W3CDTF">2025-10-29T20:20:00Z</dcterms:created>
  <dcterms:modified xsi:type="dcterms:W3CDTF">2025-10-29T20:20:00Z</dcterms:modified>
</cp:coreProperties>
</file>