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BEBBE" w14:textId="62BF0A49" w:rsidR="00EA262A" w:rsidRPr="00EA262A" w:rsidRDefault="00EA262A" w:rsidP="00EA262A">
      <w:pPr>
        <w:spacing w:before="100" w:beforeAutospacing="1" w:after="100" w:afterAutospacing="1"/>
        <w:jc w:val="center"/>
        <w:outlineLvl w:val="2"/>
        <w:rPr>
          <w:rFonts w:ascii="Barlow" w:eastAsia="Times New Roman" w:hAnsi="Barlow" w:cs="Times New Roman"/>
          <w:b/>
          <w:bCs/>
          <w:kern w:val="0"/>
          <w:sz w:val="28"/>
          <w:szCs w:val="28"/>
          <w:lang w:eastAsia="es-MX"/>
          <w14:ligatures w14:val="none"/>
        </w:rPr>
      </w:pPr>
      <w:r w:rsidRPr="00EA262A">
        <w:rPr>
          <w:rFonts w:ascii="Barlow" w:eastAsia="Times New Roman" w:hAnsi="Barlow" w:cs="Times New Roman"/>
          <w:b/>
          <w:bCs/>
          <w:kern w:val="0"/>
          <w:sz w:val="28"/>
          <w:szCs w:val="28"/>
          <w:lang w:eastAsia="es-MX"/>
          <w14:ligatures w14:val="none"/>
        </w:rPr>
        <w:t xml:space="preserve">Sudáfrica pone a prueba a los líderes del G20 este año para enfrentar el </w:t>
      </w:r>
      <w:r w:rsidR="00A41EFE">
        <w:rPr>
          <w:rFonts w:ascii="Barlow" w:eastAsia="Times New Roman" w:hAnsi="Barlow" w:cs="Times New Roman"/>
          <w:b/>
          <w:bCs/>
          <w:kern w:val="0"/>
          <w:sz w:val="28"/>
          <w:szCs w:val="28"/>
          <w:lang w:eastAsia="es-MX"/>
          <w14:ligatures w14:val="none"/>
        </w:rPr>
        <w:t>agravio</w:t>
      </w:r>
      <w:r w:rsidRPr="00EA262A">
        <w:rPr>
          <w:rFonts w:ascii="Barlow" w:eastAsia="Times New Roman" w:hAnsi="Barlow" w:cs="Times New Roman"/>
          <w:b/>
          <w:bCs/>
          <w:kern w:val="0"/>
          <w:sz w:val="28"/>
          <w:szCs w:val="28"/>
          <w:lang w:eastAsia="es-MX"/>
          <w14:ligatures w14:val="none"/>
        </w:rPr>
        <w:t xml:space="preserve"> de la desigualdad global</w:t>
      </w:r>
    </w:p>
    <w:p w14:paraId="12CFA5A7" w14:textId="61D0EE3D" w:rsidR="00EA262A" w:rsidRPr="00EA262A" w:rsidRDefault="00EA262A" w:rsidP="00EA262A">
      <w:pPr>
        <w:spacing w:before="100" w:beforeAutospacing="1" w:after="100" w:afterAutospacing="1"/>
        <w:jc w:val="center"/>
        <w:outlineLvl w:val="2"/>
        <w:rPr>
          <w:rFonts w:ascii="Barlow SemiBold" w:eastAsia="Times New Roman" w:hAnsi="Barlow SemiBold" w:cs="Times New Roman"/>
          <w:b/>
          <w:bCs/>
          <w:kern w:val="0"/>
          <w:sz w:val="22"/>
          <w:szCs w:val="22"/>
          <w:lang w:eastAsia="es-MX"/>
          <w14:ligatures w14:val="none"/>
        </w:rPr>
      </w:pPr>
      <w:r w:rsidRPr="00EA262A">
        <w:rPr>
          <w:rFonts w:ascii="Barlow SemiBold" w:eastAsia="Times New Roman" w:hAnsi="Barlow SemiBold" w:cs="Times New Roman"/>
          <w:b/>
          <w:bCs/>
          <w:kern w:val="0"/>
          <w:sz w:val="22"/>
          <w:szCs w:val="22"/>
          <w:lang w:eastAsia="es-MX"/>
          <w14:ligatures w14:val="none"/>
        </w:rPr>
        <w:t xml:space="preserve">La fortuna de los multimillonarios del G20 aumenta en 2.2 billones de dólares en solo un año, más que suficiente para sacar a todas las personas </w:t>
      </w:r>
      <w:r w:rsidR="00A41EFE">
        <w:rPr>
          <w:rFonts w:ascii="Barlow SemiBold" w:eastAsia="Times New Roman" w:hAnsi="Barlow SemiBold" w:cs="Times New Roman"/>
          <w:b/>
          <w:bCs/>
          <w:kern w:val="0"/>
          <w:sz w:val="22"/>
          <w:szCs w:val="22"/>
          <w:lang w:eastAsia="es-MX"/>
          <w14:ligatures w14:val="none"/>
        </w:rPr>
        <w:t xml:space="preserve">que viven debajo </w:t>
      </w:r>
      <w:r w:rsidRPr="00EA262A">
        <w:rPr>
          <w:rFonts w:ascii="Barlow SemiBold" w:eastAsia="Times New Roman" w:hAnsi="Barlow SemiBold" w:cs="Times New Roman"/>
          <w:b/>
          <w:bCs/>
          <w:kern w:val="0"/>
          <w:sz w:val="22"/>
          <w:szCs w:val="22"/>
          <w:lang w:eastAsia="es-MX"/>
          <w14:ligatures w14:val="none"/>
        </w:rPr>
        <w:t>de la</w:t>
      </w:r>
      <w:r w:rsidR="00A41EFE">
        <w:rPr>
          <w:rFonts w:ascii="Barlow SemiBold" w:eastAsia="Times New Roman" w:hAnsi="Barlow SemiBold" w:cs="Times New Roman"/>
          <w:b/>
          <w:bCs/>
          <w:kern w:val="0"/>
          <w:sz w:val="22"/>
          <w:szCs w:val="22"/>
          <w:lang w:eastAsia="es-MX"/>
          <w14:ligatures w14:val="none"/>
        </w:rPr>
        <w:t xml:space="preserve"> línea de la</w:t>
      </w:r>
      <w:r w:rsidRPr="00EA262A">
        <w:rPr>
          <w:rFonts w:ascii="Barlow SemiBold" w:eastAsia="Times New Roman" w:hAnsi="Barlow SemiBold" w:cs="Times New Roman"/>
          <w:b/>
          <w:bCs/>
          <w:kern w:val="0"/>
          <w:sz w:val="22"/>
          <w:szCs w:val="22"/>
          <w:lang w:eastAsia="es-MX"/>
          <w14:ligatures w14:val="none"/>
        </w:rPr>
        <w:t xml:space="preserve"> pobreza</w:t>
      </w:r>
    </w:p>
    <w:p w14:paraId="4312B20A" w14:textId="307CFF97" w:rsidR="00EA262A" w:rsidRPr="00EA262A" w:rsidRDefault="00EA262A" w:rsidP="00EA262A">
      <w:pPr>
        <w:spacing w:before="100" w:beforeAutospacing="1" w:after="100" w:afterAutospacing="1"/>
        <w:jc w:val="both"/>
        <w:rPr>
          <w:rFonts w:ascii="Barlow" w:eastAsia="Times New Roman" w:hAnsi="Barlow" w:cs="Times New Roman"/>
          <w:kern w:val="0"/>
          <w:sz w:val="22"/>
          <w:szCs w:val="22"/>
          <w:lang w:eastAsia="es-MX"/>
          <w14:ligatures w14:val="none"/>
        </w:rPr>
      </w:pPr>
      <w:r w:rsidRPr="00EA262A">
        <w:rPr>
          <w:rFonts w:ascii="Barlow" w:eastAsia="Times New Roman" w:hAnsi="Barlow" w:cs="Times New Roman"/>
          <w:kern w:val="0"/>
          <w:sz w:val="22"/>
          <w:szCs w:val="22"/>
          <w:lang w:eastAsia="es-MX"/>
          <w14:ligatures w14:val="none"/>
        </w:rPr>
        <w:t>La cantidad de riqueza que los propios multimillonarios del G20 generaron solo el año pasado</w:t>
      </w:r>
      <w:r w:rsidRPr="00134403">
        <w:rPr>
          <w:rFonts w:ascii="Barlow" w:eastAsia="Times New Roman" w:hAnsi="Barlow" w:cs="Times New Roman"/>
          <w:kern w:val="0"/>
          <w:sz w:val="22"/>
          <w:szCs w:val="22"/>
          <w:lang w:eastAsia="es-MX"/>
          <w14:ligatures w14:val="none"/>
        </w:rPr>
        <w:t xml:space="preserve"> (</w:t>
      </w:r>
      <w:r w:rsidRPr="00EA262A">
        <w:rPr>
          <w:rFonts w:ascii="Barlow" w:eastAsia="Times New Roman" w:hAnsi="Barlow" w:cs="Times New Roman"/>
          <w:kern w:val="0"/>
          <w:sz w:val="22"/>
          <w:szCs w:val="22"/>
          <w:lang w:eastAsia="es-MX"/>
          <w14:ligatures w14:val="none"/>
        </w:rPr>
        <w:t>2.2 billones de dólares</w:t>
      </w:r>
      <w:r w:rsidRPr="00134403">
        <w:rPr>
          <w:rFonts w:ascii="Barlow" w:eastAsia="Times New Roman" w:hAnsi="Barlow" w:cs="Times New Roman"/>
          <w:kern w:val="0"/>
          <w:sz w:val="22"/>
          <w:szCs w:val="22"/>
          <w:lang w:eastAsia="es-MX"/>
          <w14:ligatures w14:val="none"/>
        </w:rPr>
        <w:t xml:space="preserve">), </w:t>
      </w:r>
      <w:r w:rsidRPr="00EA262A">
        <w:rPr>
          <w:rFonts w:ascii="Barlow" w:eastAsia="Times New Roman" w:hAnsi="Barlow" w:cs="Times New Roman"/>
          <w:kern w:val="0"/>
          <w:sz w:val="22"/>
          <w:szCs w:val="22"/>
          <w:lang w:eastAsia="es-MX"/>
          <w14:ligatures w14:val="none"/>
        </w:rPr>
        <w:t>habría sido más que suficiente para sacar de la pobreza a 3,800 millones de personas, dice Oxfam.</w:t>
      </w:r>
    </w:p>
    <w:p w14:paraId="3F44F037" w14:textId="77777777" w:rsidR="00EA262A" w:rsidRPr="00EA262A" w:rsidRDefault="00EA262A" w:rsidP="00EA262A">
      <w:pPr>
        <w:spacing w:before="100" w:beforeAutospacing="1" w:after="100" w:afterAutospacing="1"/>
        <w:jc w:val="both"/>
        <w:rPr>
          <w:rFonts w:ascii="Barlow" w:eastAsia="Times New Roman" w:hAnsi="Barlow" w:cs="Times New Roman"/>
          <w:kern w:val="0"/>
          <w:sz w:val="22"/>
          <w:szCs w:val="22"/>
          <w:lang w:eastAsia="es-MX"/>
          <w14:ligatures w14:val="none"/>
        </w:rPr>
      </w:pPr>
      <w:r w:rsidRPr="00EA262A">
        <w:rPr>
          <w:rFonts w:ascii="Barlow" w:eastAsia="Times New Roman" w:hAnsi="Barlow" w:cs="Times New Roman"/>
          <w:kern w:val="0"/>
          <w:sz w:val="22"/>
          <w:szCs w:val="22"/>
          <w:lang w:eastAsia="es-MX"/>
          <w14:ligatures w14:val="none"/>
        </w:rPr>
        <w:t>Los multimillonarios en los países del G20 vieron crecer su riqueza un 16.5% en apenas un año, pasando de 13.4 billones de dólares a 15.6 billones. El costo anual para sacar de la pobreza a las 3.8 mil millones de personas que actualmente viven por debajo de la línea de pobreza es de 1.65 billones de dólares.</w:t>
      </w:r>
    </w:p>
    <w:p w14:paraId="52C04BDD" w14:textId="77777777" w:rsidR="00EA262A" w:rsidRPr="00EA262A" w:rsidRDefault="00EA262A" w:rsidP="00EA262A">
      <w:pPr>
        <w:spacing w:before="100" w:beforeAutospacing="1" w:after="100" w:afterAutospacing="1"/>
        <w:jc w:val="both"/>
        <w:rPr>
          <w:rFonts w:ascii="Barlow" w:eastAsia="Times New Roman" w:hAnsi="Barlow" w:cs="Times New Roman"/>
          <w:kern w:val="0"/>
          <w:sz w:val="22"/>
          <w:szCs w:val="22"/>
          <w:lang w:eastAsia="es-MX"/>
          <w14:ligatures w14:val="none"/>
        </w:rPr>
      </w:pPr>
      <w:r w:rsidRPr="00EA262A">
        <w:rPr>
          <w:rFonts w:ascii="Barlow" w:eastAsia="Times New Roman" w:hAnsi="Barlow" w:cs="Times New Roman"/>
          <w:kern w:val="0"/>
          <w:sz w:val="22"/>
          <w:szCs w:val="22"/>
          <w:lang w:eastAsia="es-MX"/>
          <w14:ligatures w14:val="none"/>
        </w:rPr>
        <w:t>Oxfam revela estas nuevas cifras antes de la Cumbre del G20 en Johannesburgo (22–23 de noviembre), donde la presidencia sudafricana ha hecho de la lucha contra la desigualdad un tema central.</w:t>
      </w:r>
    </w:p>
    <w:p w14:paraId="362B4DFA" w14:textId="77777777" w:rsidR="00EA262A" w:rsidRPr="00EA262A" w:rsidRDefault="00EA262A" w:rsidP="00EA262A">
      <w:pPr>
        <w:spacing w:before="100" w:beforeAutospacing="1" w:after="100" w:afterAutospacing="1"/>
        <w:jc w:val="both"/>
        <w:rPr>
          <w:rFonts w:ascii="Barlow" w:eastAsia="Times New Roman" w:hAnsi="Barlow" w:cs="Times New Roman"/>
          <w:kern w:val="0"/>
          <w:sz w:val="22"/>
          <w:szCs w:val="22"/>
          <w:lang w:eastAsia="es-MX"/>
          <w14:ligatures w14:val="none"/>
        </w:rPr>
      </w:pPr>
      <w:r w:rsidRPr="00EA262A">
        <w:rPr>
          <w:rFonts w:ascii="Barlow" w:eastAsia="Times New Roman" w:hAnsi="Barlow" w:cs="Times New Roman"/>
          <w:kern w:val="0"/>
          <w:sz w:val="22"/>
          <w:szCs w:val="22"/>
          <w:lang w:eastAsia="es-MX"/>
          <w14:ligatures w14:val="none"/>
        </w:rPr>
        <w:t>Sudáfrica ha encargado el primer análisis de desigualdad del G20 para asesorar a los líderes. El “Comité Extraordinario del G20 de Expertos Independientes sobre la Desigualdad Global”, liderado por el profesor Joseph Stiglitz, identifica una “emergencia de desigualdad”.</w:t>
      </w:r>
    </w:p>
    <w:p w14:paraId="365B50DA" w14:textId="77777777" w:rsidR="00EA262A" w:rsidRPr="00EA262A" w:rsidRDefault="00EA262A" w:rsidP="00EA262A">
      <w:pPr>
        <w:spacing w:before="100" w:beforeAutospacing="1" w:after="100" w:afterAutospacing="1"/>
        <w:jc w:val="both"/>
        <w:rPr>
          <w:rFonts w:ascii="Barlow" w:eastAsia="Times New Roman" w:hAnsi="Barlow" w:cs="Times New Roman"/>
          <w:kern w:val="0"/>
          <w:sz w:val="22"/>
          <w:szCs w:val="22"/>
          <w:lang w:eastAsia="es-MX"/>
          <w14:ligatures w14:val="none"/>
        </w:rPr>
      </w:pPr>
      <w:r w:rsidRPr="00EA262A">
        <w:rPr>
          <w:rFonts w:ascii="Barlow" w:eastAsia="Times New Roman" w:hAnsi="Barlow" w:cs="Times New Roman"/>
          <w:kern w:val="0"/>
          <w:sz w:val="22"/>
          <w:szCs w:val="22"/>
          <w:lang w:eastAsia="es-MX"/>
          <w14:ligatures w14:val="none"/>
        </w:rPr>
        <w:t>El comité señala que, desde el año 2000, el 1% más rico ha capturado 41 centavos de cada nuevo dólar creado por la economía global, mientras que la mitad más pobre de la humanidad obtuvo solo un centavo por dólar.</w:t>
      </w:r>
    </w:p>
    <w:p w14:paraId="68399DA6" w14:textId="77777777" w:rsidR="00EA262A" w:rsidRPr="00EA262A" w:rsidRDefault="00EA262A" w:rsidP="00EA262A">
      <w:pPr>
        <w:spacing w:before="100" w:beforeAutospacing="1" w:after="100" w:afterAutospacing="1"/>
        <w:jc w:val="both"/>
        <w:rPr>
          <w:rFonts w:ascii="Barlow" w:eastAsia="Times New Roman" w:hAnsi="Barlow" w:cs="Times New Roman"/>
          <w:kern w:val="0"/>
          <w:sz w:val="22"/>
          <w:szCs w:val="22"/>
          <w:lang w:eastAsia="es-MX"/>
          <w14:ligatures w14:val="none"/>
        </w:rPr>
      </w:pPr>
      <w:r w:rsidRPr="00EA262A">
        <w:rPr>
          <w:rFonts w:ascii="Barlow" w:eastAsia="Times New Roman" w:hAnsi="Barlow" w:cs="Times New Roman"/>
          <w:kern w:val="0"/>
          <w:sz w:val="22"/>
          <w:szCs w:val="22"/>
          <w:lang w:eastAsia="es-MX"/>
          <w14:ligatures w14:val="none"/>
        </w:rPr>
        <w:t>El comité apunta a los múltiples daños que esta alta desigualdad provoca en la humanidad y el planeta: genera enormes dificultades económicas para la mayoría, alimenta la polarización política y erosiona las democracias.</w:t>
      </w:r>
    </w:p>
    <w:p w14:paraId="0561DD13" w14:textId="77777777" w:rsidR="00EA262A" w:rsidRPr="00EA262A" w:rsidRDefault="00EA262A" w:rsidP="00EA262A">
      <w:pPr>
        <w:spacing w:before="100" w:beforeAutospacing="1" w:after="100" w:afterAutospacing="1"/>
        <w:jc w:val="both"/>
        <w:rPr>
          <w:rFonts w:ascii="Barlow" w:eastAsia="Times New Roman" w:hAnsi="Barlow" w:cs="Times New Roman"/>
          <w:kern w:val="0"/>
          <w:sz w:val="22"/>
          <w:szCs w:val="22"/>
          <w:lang w:eastAsia="es-MX"/>
          <w14:ligatures w14:val="none"/>
        </w:rPr>
      </w:pPr>
      <w:r w:rsidRPr="00EA262A">
        <w:rPr>
          <w:rFonts w:ascii="Barlow" w:eastAsia="Times New Roman" w:hAnsi="Barlow" w:cs="Times New Roman"/>
          <w:kern w:val="0"/>
          <w:sz w:val="22"/>
          <w:szCs w:val="22"/>
          <w:lang w:eastAsia="es-MX"/>
          <w14:ligatures w14:val="none"/>
        </w:rPr>
        <w:t>Oxfam celebra la recomendación del comité de crear un nuevo Panel Internacional sobre Desigualdad, que desempeñaría un papel similar al del IPCC en la crisis climática. Este panel aportaría el mismo rigor científico y propósito para impulsar acciones urgentes para abordar esta gran brecha.</w:t>
      </w:r>
    </w:p>
    <w:p w14:paraId="166AC75F" w14:textId="77777777" w:rsidR="00EA262A" w:rsidRPr="00EA262A" w:rsidRDefault="00EA262A" w:rsidP="00EA262A">
      <w:pPr>
        <w:spacing w:before="100" w:beforeAutospacing="1" w:after="100" w:afterAutospacing="1"/>
        <w:jc w:val="both"/>
        <w:rPr>
          <w:rFonts w:ascii="Barlow" w:eastAsia="Times New Roman" w:hAnsi="Barlow" w:cs="Times New Roman"/>
          <w:kern w:val="0"/>
          <w:sz w:val="22"/>
          <w:szCs w:val="22"/>
          <w:lang w:eastAsia="es-MX"/>
          <w14:ligatures w14:val="none"/>
        </w:rPr>
      </w:pPr>
      <w:r w:rsidRPr="00EA262A">
        <w:rPr>
          <w:rFonts w:ascii="Barlow" w:eastAsia="Times New Roman" w:hAnsi="Barlow" w:cs="Times New Roman"/>
          <w:kern w:val="0"/>
          <w:sz w:val="22"/>
          <w:szCs w:val="22"/>
          <w:lang w:eastAsia="es-MX"/>
          <w14:ligatures w14:val="none"/>
        </w:rPr>
        <w:t>El presidente de Sudáfrica, Cyril Ramaphosa, ha expresado su apoyo a dicho panel. Sudáfrica hace un llamado a las demás naciones del G20 a respaldar el informe Stiglitz y sus recomendaciones.</w:t>
      </w:r>
    </w:p>
    <w:p w14:paraId="196F3419" w14:textId="37E1DB89" w:rsidR="00EA262A" w:rsidRPr="00EA262A" w:rsidRDefault="00EA262A" w:rsidP="00EA262A">
      <w:pPr>
        <w:spacing w:before="100" w:beforeAutospacing="1" w:after="100" w:afterAutospacing="1"/>
        <w:jc w:val="both"/>
        <w:rPr>
          <w:rFonts w:ascii="Barlow" w:eastAsia="Times New Roman" w:hAnsi="Barlow" w:cs="Times New Roman"/>
          <w:kern w:val="0"/>
          <w:sz w:val="22"/>
          <w:szCs w:val="22"/>
          <w:lang w:eastAsia="es-MX"/>
          <w14:ligatures w14:val="none"/>
        </w:rPr>
      </w:pPr>
      <w:r w:rsidRPr="00EA262A">
        <w:rPr>
          <w:rFonts w:ascii="Barlow" w:eastAsia="Times New Roman" w:hAnsi="Barlow" w:cs="Times New Roman"/>
          <w:kern w:val="0"/>
          <w:sz w:val="22"/>
          <w:szCs w:val="22"/>
          <w:lang w:eastAsia="es-MX"/>
          <w14:ligatures w14:val="none"/>
        </w:rPr>
        <w:t>Oxfam califica los 15.6 billones de dólares que están sobre la mesa de los líderes del G20</w:t>
      </w:r>
      <w:r w:rsidRPr="00134403">
        <w:rPr>
          <w:rFonts w:ascii="Barlow" w:eastAsia="Times New Roman" w:hAnsi="Barlow" w:cs="Times New Roman"/>
          <w:kern w:val="0"/>
          <w:sz w:val="22"/>
          <w:szCs w:val="22"/>
          <w:lang w:eastAsia="es-MX"/>
          <w14:ligatures w14:val="none"/>
        </w:rPr>
        <w:t xml:space="preserve">, </w:t>
      </w:r>
      <w:r w:rsidRPr="00EA262A">
        <w:rPr>
          <w:rFonts w:ascii="Barlow" w:eastAsia="Times New Roman" w:hAnsi="Barlow" w:cs="Times New Roman"/>
          <w:kern w:val="0"/>
          <w:sz w:val="22"/>
          <w:szCs w:val="22"/>
          <w:lang w:eastAsia="es-MX"/>
          <w14:ligatures w14:val="none"/>
        </w:rPr>
        <w:t>la enorme cantidad de riqueza que poseen los multimillonarios del G20</w:t>
      </w:r>
      <w:r w:rsidRPr="00134403">
        <w:rPr>
          <w:rFonts w:ascii="Barlow" w:eastAsia="Times New Roman" w:hAnsi="Barlow" w:cs="Times New Roman"/>
          <w:kern w:val="0"/>
          <w:sz w:val="22"/>
          <w:szCs w:val="22"/>
          <w:lang w:eastAsia="es-MX"/>
          <w14:ligatures w14:val="none"/>
        </w:rPr>
        <w:t xml:space="preserve">, </w:t>
      </w:r>
      <w:r w:rsidRPr="00EA262A">
        <w:rPr>
          <w:rFonts w:ascii="Barlow" w:eastAsia="Times New Roman" w:hAnsi="Barlow" w:cs="Times New Roman"/>
          <w:kern w:val="0"/>
          <w:sz w:val="22"/>
          <w:szCs w:val="22"/>
          <w:lang w:eastAsia="es-MX"/>
          <w14:ligatures w14:val="none"/>
        </w:rPr>
        <w:t>como un “secreto a voces” que debe ser gravado de manera justa para ayudar a acabar con la pobreza y enfrentar la crisis climática.</w:t>
      </w:r>
    </w:p>
    <w:p w14:paraId="5A2E597B" w14:textId="77777777" w:rsidR="00EA262A" w:rsidRPr="00EA262A" w:rsidRDefault="00EA262A" w:rsidP="00EA262A">
      <w:pPr>
        <w:spacing w:before="100" w:beforeAutospacing="1" w:after="100" w:afterAutospacing="1"/>
        <w:jc w:val="both"/>
        <w:rPr>
          <w:rFonts w:ascii="Barlow" w:eastAsia="Times New Roman" w:hAnsi="Barlow" w:cs="Times New Roman"/>
          <w:kern w:val="0"/>
          <w:sz w:val="22"/>
          <w:szCs w:val="22"/>
          <w:lang w:eastAsia="es-MX"/>
          <w14:ligatures w14:val="none"/>
        </w:rPr>
      </w:pPr>
      <w:r w:rsidRPr="00EA262A">
        <w:rPr>
          <w:rFonts w:ascii="Barlow" w:eastAsia="Times New Roman" w:hAnsi="Barlow" w:cs="Times New Roman"/>
          <w:kern w:val="0"/>
          <w:sz w:val="22"/>
          <w:szCs w:val="22"/>
          <w:lang w:eastAsia="es-MX"/>
          <w14:ligatures w14:val="none"/>
        </w:rPr>
        <w:lastRenderedPageBreak/>
        <w:t>“La desigualdad es una decisión política deliberada. A pesar de la riqueza récord en la cima, la riqueza pública se estanca, incluso disminuye, y el sobreendeudamiento crece”, dijo Amitabh Behar, director ejecutivo de Oxfam Internacional.</w:t>
      </w:r>
    </w:p>
    <w:p w14:paraId="3F2B9894" w14:textId="77777777" w:rsidR="00EA262A" w:rsidRPr="00EA262A" w:rsidRDefault="00EA262A" w:rsidP="00EA262A">
      <w:pPr>
        <w:spacing w:before="100" w:beforeAutospacing="1" w:after="100" w:afterAutospacing="1"/>
        <w:jc w:val="both"/>
        <w:rPr>
          <w:rFonts w:ascii="Barlow" w:eastAsia="Times New Roman" w:hAnsi="Barlow" w:cs="Times New Roman"/>
          <w:kern w:val="0"/>
          <w:sz w:val="22"/>
          <w:szCs w:val="22"/>
          <w:lang w:eastAsia="es-MX"/>
          <w14:ligatures w14:val="none"/>
        </w:rPr>
      </w:pPr>
      <w:r w:rsidRPr="00EA262A">
        <w:rPr>
          <w:rFonts w:ascii="Barlow" w:eastAsia="Times New Roman" w:hAnsi="Barlow" w:cs="Times New Roman"/>
          <w:kern w:val="0"/>
          <w:sz w:val="22"/>
          <w:szCs w:val="22"/>
          <w:lang w:eastAsia="es-MX"/>
          <w14:ligatures w14:val="none"/>
        </w:rPr>
        <w:t>“La desigualdad arrebata oportunidades de vida y derechos a la mayoría, generando pobreza, hambre, resentimiento, desconfianza e inestabilidad. Si el G20 sudafricano establece un nuevo Panel Internacional sobre Desigualdad, será un paso enorme para atender esta emergencia. Instamos a todas las naciones del G20 y a otras a respaldar a Sudáfrica y hacerlo realidad”, añadió.</w:t>
      </w:r>
    </w:p>
    <w:p w14:paraId="068937E4" w14:textId="77777777" w:rsidR="00EA262A" w:rsidRPr="00EA262A" w:rsidRDefault="00EA262A" w:rsidP="00EA262A">
      <w:pPr>
        <w:spacing w:before="100" w:beforeAutospacing="1" w:after="100" w:afterAutospacing="1"/>
        <w:jc w:val="both"/>
        <w:rPr>
          <w:rFonts w:ascii="Barlow" w:eastAsia="Times New Roman" w:hAnsi="Barlow" w:cs="Times New Roman"/>
          <w:kern w:val="0"/>
          <w:sz w:val="22"/>
          <w:szCs w:val="22"/>
          <w:lang w:eastAsia="es-MX"/>
          <w14:ligatures w14:val="none"/>
        </w:rPr>
      </w:pPr>
      <w:r w:rsidRPr="00EA262A">
        <w:rPr>
          <w:rFonts w:ascii="Barlow" w:eastAsia="Times New Roman" w:hAnsi="Barlow" w:cs="Times New Roman"/>
          <w:kern w:val="0"/>
          <w:sz w:val="22"/>
          <w:szCs w:val="22"/>
          <w:lang w:eastAsia="es-MX"/>
          <w14:ligatures w14:val="none"/>
        </w:rPr>
        <w:t>La Cumbre del G20 llega en un momento de gran agitación geopolítica. Aunque Estados Unidos está notablemente ausente de las reuniones, su gobierno ha impulsado políticas destructivas —desde aranceles imprudentes hasta recortes regresivos de impuestos y reducción de ayuda vital— que agravan la desigualdad tanto dentro como fuera del país. Otros países del G20 tienen una oportunidad real de asumir compromisos duraderos en la dirección opuesta: reducir la desigualdad, eligiendo reglas internacionales y cooperación que sirvan a las personas comunes por encima de los oligarcas globales.</w:t>
      </w:r>
    </w:p>
    <w:p w14:paraId="5931DC4D" w14:textId="77777777" w:rsidR="00EA262A" w:rsidRPr="00EA262A" w:rsidRDefault="00EA262A" w:rsidP="00EA262A">
      <w:pPr>
        <w:spacing w:before="100" w:beforeAutospacing="1" w:after="100" w:afterAutospacing="1"/>
        <w:jc w:val="both"/>
        <w:rPr>
          <w:rFonts w:ascii="Barlow" w:eastAsia="Times New Roman" w:hAnsi="Barlow" w:cs="Times New Roman"/>
          <w:kern w:val="0"/>
          <w:sz w:val="22"/>
          <w:szCs w:val="22"/>
          <w:lang w:eastAsia="es-MX"/>
          <w14:ligatures w14:val="none"/>
        </w:rPr>
      </w:pPr>
      <w:r w:rsidRPr="00EA262A">
        <w:rPr>
          <w:rFonts w:ascii="Barlow" w:eastAsia="Times New Roman" w:hAnsi="Barlow" w:cs="Times New Roman"/>
          <w:kern w:val="0"/>
          <w:sz w:val="22"/>
          <w:szCs w:val="22"/>
          <w:lang w:eastAsia="es-MX"/>
          <w14:ligatures w14:val="none"/>
        </w:rPr>
        <w:t>Desde el inicio de la nueva administración Trump, Estados Unidos se ha retirado de la cooperación fiscal internacional y ha presionado a países para abandonar reformas tributarias necesarias. Esto incluye presionar a las naciones del G7 para respaldar un acuerdo que eximiría a las empresas multinacionales estadounidenses del impuesto mínimo corporativo global. Oxfam señala que esta carrera hacia el fondo es una elección que los países pueden y deben rechazar.</w:t>
      </w:r>
    </w:p>
    <w:p w14:paraId="68DD51D5" w14:textId="77777777" w:rsidR="00EA262A" w:rsidRPr="00EA262A" w:rsidRDefault="00EA262A" w:rsidP="00EA262A">
      <w:pPr>
        <w:spacing w:before="100" w:beforeAutospacing="1" w:after="100" w:afterAutospacing="1"/>
        <w:jc w:val="both"/>
        <w:rPr>
          <w:rFonts w:ascii="Barlow" w:eastAsia="Times New Roman" w:hAnsi="Barlow" w:cs="Times New Roman"/>
          <w:kern w:val="0"/>
          <w:sz w:val="22"/>
          <w:szCs w:val="22"/>
          <w:lang w:eastAsia="es-MX"/>
          <w14:ligatures w14:val="none"/>
        </w:rPr>
      </w:pPr>
      <w:r w:rsidRPr="00EA262A">
        <w:rPr>
          <w:rFonts w:ascii="Barlow" w:eastAsia="Times New Roman" w:hAnsi="Barlow" w:cs="Times New Roman"/>
          <w:kern w:val="0"/>
          <w:sz w:val="22"/>
          <w:szCs w:val="22"/>
          <w:lang w:eastAsia="es-MX"/>
          <w14:ligatures w14:val="none"/>
        </w:rPr>
        <w:t>Oxfam llama a los líderes del G20 a renovar su compromiso con una agenda global de tributación efectiva de los súper ricos, acordada en el G20 de Brasil el año pasado, y traducirla en acciones. Solo ocho centavos de cada dólar recaudado en los países del G20 proviene actualmente de impuestos sobre la riqueza.</w:t>
      </w:r>
    </w:p>
    <w:p w14:paraId="0D994CBF" w14:textId="77777777" w:rsidR="00EA262A" w:rsidRPr="00EA262A" w:rsidRDefault="00EA262A" w:rsidP="00EA262A">
      <w:pPr>
        <w:spacing w:before="100" w:beforeAutospacing="1" w:after="100" w:afterAutospacing="1"/>
        <w:jc w:val="both"/>
        <w:rPr>
          <w:rFonts w:ascii="Barlow" w:eastAsia="Times New Roman" w:hAnsi="Barlow" w:cs="Times New Roman"/>
          <w:kern w:val="0"/>
          <w:sz w:val="22"/>
          <w:szCs w:val="22"/>
          <w:lang w:eastAsia="es-MX"/>
          <w14:ligatures w14:val="none"/>
        </w:rPr>
      </w:pPr>
      <w:r w:rsidRPr="00EA262A">
        <w:rPr>
          <w:rFonts w:ascii="Barlow" w:eastAsia="Times New Roman" w:hAnsi="Barlow" w:cs="Times New Roman"/>
          <w:kern w:val="0"/>
          <w:sz w:val="22"/>
          <w:szCs w:val="22"/>
          <w:lang w:eastAsia="es-MX"/>
          <w14:ligatures w14:val="none"/>
        </w:rPr>
        <w:t>Oxfam también pide a los países del G20 que actúen con urgencia frente a la crisis de deuda. Más de la mitad de los países de bajos ingresos están en situación de sobreendeudamiento o en alto riesgo, según el FMI. Esto les impide financiar escuelas, hospitales e infraestructura, profundizando la desigualdad. 3.4 mil millones de personas viven en países que gastan más en el pago de intereses que en educación o salud.</w:t>
      </w:r>
    </w:p>
    <w:p w14:paraId="4D21F23C" w14:textId="77777777" w:rsidR="00EA262A" w:rsidRPr="00EA262A" w:rsidRDefault="00EA262A" w:rsidP="00EA262A">
      <w:pPr>
        <w:spacing w:before="100" w:beforeAutospacing="1" w:after="100" w:afterAutospacing="1"/>
        <w:jc w:val="both"/>
        <w:rPr>
          <w:rFonts w:ascii="Barlow" w:eastAsia="Times New Roman" w:hAnsi="Barlow" w:cs="Times New Roman"/>
          <w:kern w:val="0"/>
          <w:sz w:val="22"/>
          <w:szCs w:val="22"/>
          <w:lang w:eastAsia="es-MX"/>
          <w14:ligatures w14:val="none"/>
        </w:rPr>
      </w:pPr>
      <w:r w:rsidRPr="00EA262A">
        <w:rPr>
          <w:rFonts w:ascii="Barlow" w:eastAsia="Times New Roman" w:hAnsi="Barlow" w:cs="Times New Roman"/>
          <w:kern w:val="0"/>
          <w:sz w:val="22"/>
          <w:szCs w:val="22"/>
          <w:lang w:eastAsia="es-MX"/>
          <w14:ligatures w14:val="none"/>
        </w:rPr>
        <w:t>“Estos países quizá no hayan incumplido su deuda, pero están incumpliendo con el desarrollo”, dijo Behar. “Un mundo que no puede ayudar a los países a invertir en salud, educación y sostenibilidad no puede esperar estabilidad, prosperidad ni avances climáticos”.</w:t>
      </w:r>
    </w:p>
    <w:p w14:paraId="2A56C024" w14:textId="77777777" w:rsidR="00EA262A" w:rsidRPr="00EA262A" w:rsidRDefault="00EA262A" w:rsidP="00EA262A">
      <w:pPr>
        <w:spacing w:before="100" w:beforeAutospacing="1" w:after="100" w:afterAutospacing="1"/>
        <w:jc w:val="both"/>
        <w:rPr>
          <w:rFonts w:ascii="Barlow" w:eastAsia="Times New Roman" w:hAnsi="Barlow" w:cs="Times New Roman"/>
          <w:kern w:val="0"/>
          <w:sz w:val="22"/>
          <w:szCs w:val="22"/>
          <w:lang w:eastAsia="es-MX"/>
          <w14:ligatures w14:val="none"/>
        </w:rPr>
      </w:pPr>
      <w:r w:rsidRPr="00EA262A">
        <w:rPr>
          <w:rFonts w:ascii="Barlow" w:eastAsia="Times New Roman" w:hAnsi="Barlow" w:cs="Times New Roman"/>
          <w:kern w:val="0"/>
          <w:sz w:val="22"/>
          <w:szCs w:val="22"/>
          <w:lang w:eastAsia="es-MX"/>
          <w14:ligatures w14:val="none"/>
        </w:rPr>
        <w:t>El plan del G20 para ayudar a los países endeudados ha fracasado. Su promesa inicial de apoyar la reestructuración de deuda ha sido demasiado lenta y tardía. Como resultado, solo 4 de 69 países elegibles han aplicado al esquema, señala Oxfam.</w:t>
      </w:r>
    </w:p>
    <w:p w14:paraId="5D15DE79" w14:textId="77777777" w:rsidR="00EA262A" w:rsidRPr="00EA262A" w:rsidRDefault="00EA262A" w:rsidP="00EA262A">
      <w:pPr>
        <w:spacing w:before="100" w:beforeAutospacing="1" w:after="100" w:afterAutospacing="1"/>
        <w:jc w:val="both"/>
        <w:rPr>
          <w:rFonts w:ascii="Barlow" w:eastAsia="Times New Roman" w:hAnsi="Barlow" w:cs="Times New Roman"/>
          <w:kern w:val="0"/>
          <w:sz w:val="22"/>
          <w:szCs w:val="22"/>
          <w:lang w:eastAsia="es-MX"/>
          <w14:ligatures w14:val="none"/>
        </w:rPr>
      </w:pPr>
      <w:r w:rsidRPr="00EA262A">
        <w:rPr>
          <w:rFonts w:ascii="Barlow" w:eastAsia="Times New Roman" w:hAnsi="Barlow" w:cs="Times New Roman"/>
          <w:kern w:val="0"/>
          <w:sz w:val="22"/>
          <w:szCs w:val="22"/>
          <w:lang w:eastAsia="es-MX"/>
          <w14:ligatures w14:val="none"/>
        </w:rPr>
        <w:t xml:space="preserve">Estos países están atrapados en un círculo vicioso. A medida que los prestamistas privados retiran su capital por el creciente riesgo de impago, los gobiernos se ven obligados a endeudarse con organismos multilaterales como el FMI y el Banco Mundial, cuyos préstamos </w:t>
      </w:r>
      <w:r w:rsidRPr="00EA262A">
        <w:rPr>
          <w:rFonts w:ascii="Barlow" w:eastAsia="Times New Roman" w:hAnsi="Barlow" w:cs="Times New Roman"/>
          <w:kern w:val="0"/>
          <w:sz w:val="22"/>
          <w:szCs w:val="22"/>
          <w:lang w:eastAsia="es-MX"/>
          <w14:ligatures w14:val="none"/>
        </w:rPr>
        <w:lastRenderedPageBreak/>
        <w:t>suelen venir con condiciones más estrictas, como ausencia de alivio de deuda y presión para recortar el gasto público.</w:t>
      </w:r>
    </w:p>
    <w:p w14:paraId="48D4F75E" w14:textId="18587293" w:rsidR="00EA262A" w:rsidRPr="00EA262A" w:rsidRDefault="00EA262A" w:rsidP="00EA262A">
      <w:pPr>
        <w:spacing w:before="100" w:beforeAutospacing="1" w:after="100" w:afterAutospacing="1"/>
        <w:jc w:val="center"/>
        <w:outlineLvl w:val="2"/>
        <w:rPr>
          <w:rFonts w:ascii="Barlow Medium" w:eastAsia="Times New Roman" w:hAnsi="Barlow Medium" w:cs="Times New Roman"/>
          <w:b/>
          <w:bCs/>
          <w:kern w:val="0"/>
          <w:sz w:val="22"/>
          <w:szCs w:val="22"/>
          <w:lang w:eastAsia="es-MX"/>
          <w14:ligatures w14:val="none"/>
        </w:rPr>
      </w:pPr>
      <w:r w:rsidRPr="00EA262A">
        <w:rPr>
          <w:rFonts w:ascii="Barlow Medium" w:eastAsia="Times New Roman" w:hAnsi="Barlow Medium" w:cs="Times New Roman"/>
          <w:b/>
          <w:bCs/>
          <w:kern w:val="0"/>
          <w:sz w:val="22"/>
          <w:szCs w:val="22"/>
          <w:lang w:eastAsia="es-MX"/>
          <w14:ligatures w14:val="none"/>
        </w:rPr>
        <w:t>Notas para editores</w:t>
      </w:r>
    </w:p>
    <w:p w14:paraId="7DADA9FD" w14:textId="79112F69" w:rsidR="00EA262A" w:rsidRPr="00EA262A" w:rsidRDefault="00EA262A" w:rsidP="00EA262A">
      <w:pPr>
        <w:spacing w:before="100" w:beforeAutospacing="1" w:after="100" w:afterAutospacing="1"/>
        <w:outlineLvl w:val="2"/>
        <w:rPr>
          <w:rFonts w:ascii="Barlow" w:eastAsia="Times New Roman" w:hAnsi="Barlow" w:cs="Times New Roman"/>
          <w:kern w:val="0"/>
          <w:sz w:val="22"/>
          <w:szCs w:val="22"/>
          <w:u w:val="single"/>
          <w:lang w:eastAsia="es-MX"/>
          <w14:ligatures w14:val="none"/>
        </w:rPr>
      </w:pPr>
      <w:r w:rsidRPr="00EA262A">
        <w:rPr>
          <w:rFonts w:ascii="Barlow" w:eastAsia="Times New Roman" w:hAnsi="Barlow" w:cs="Times New Roman"/>
          <w:kern w:val="0"/>
          <w:sz w:val="22"/>
          <w:szCs w:val="22"/>
          <w:u w:val="single"/>
          <w:lang w:eastAsia="es-MX"/>
          <w14:ligatures w14:val="none"/>
        </w:rPr>
        <w:t>Contacto para medios</w:t>
      </w:r>
    </w:p>
    <w:p w14:paraId="0A5F4CF1" w14:textId="29E615A7" w:rsidR="00EA262A" w:rsidRPr="00EA262A" w:rsidRDefault="00EA262A" w:rsidP="00EA262A">
      <w:pPr>
        <w:spacing w:before="100" w:beforeAutospacing="1" w:after="100" w:afterAutospacing="1"/>
        <w:rPr>
          <w:rFonts w:ascii="Barlow" w:eastAsia="Times New Roman" w:hAnsi="Barlow" w:cs="Times New Roman"/>
          <w:kern w:val="0"/>
          <w:sz w:val="21"/>
          <w:szCs w:val="21"/>
          <w:lang w:eastAsia="es-MX"/>
          <w14:ligatures w14:val="none"/>
        </w:rPr>
      </w:pPr>
      <w:r w:rsidRPr="00EA262A">
        <w:rPr>
          <w:rFonts w:ascii="Barlow" w:eastAsia="Times New Roman" w:hAnsi="Barlow" w:cs="Times New Roman"/>
          <w:kern w:val="0"/>
          <w:sz w:val="21"/>
          <w:szCs w:val="21"/>
          <w:lang w:eastAsia="es-MX"/>
          <w14:ligatures w14:val="none"/>
        </w:rPr>
        <w:t>-</w:t>
      </w:r>
      <w:r w:rsidRPr="00EA262A">
        <w:rPr>
          <w:rFonts w:ascii="Barlow" w:eastAsia="Times New Roman" w:hAnsi="Barlow" w:cs="Times New Roman"/>
          <w:kern w:val="0"/>
          <w:sz w:val="21"/>
          <w:szCs w:val="21"/>
          <w:lang w:eastAsia="es-MX"/>
          <w14:ligatures w14:val="none"/>
        </w:rPr>
        <w:t xml:space="preserve">Jade Tenwick | </w:t>
      </w:r>
      <w:r w:rsidRPr="00EA262A">
        <w:rPr>
          <w:rFonts w:ascii="Barlow" w:eastAsia="Times New Roman" w:hAnsi="Barlow" w:cs="Times New Roman"/>
          <w:kern w:val="0"/>
          <w:sz w:val="21"/>
          <w:szCs w:val="21"/>
          <w:lang w:eastAsia="es-MX"/>
          <w14:ligatures w14:val="none"/>
        </w:rPr>
        <w:t>Oxfam Internacional |</w:t>
      </w:r>
      <w:r w:rsidRPr="00EA262A">
        <w:rPr>
          <w:rFonts w:ascii="Barlow" w:eastAsia="Times New Roman" w:hAnsi="Barlow" w:cs="Times New Roman"/>
          <w:kern w:val="0"/>
          <w:sz w:val="21"/>
          <w:szCs w:val="21"/>
          <w:lang w:eastAsia="es-MX"/>
          <w14:ligatures w14:val="none"/>
        </w:rPr>
        <w:t>Johannesburgo, Sudáfrica</w:t>
      </w:r>
      <w:r w:rsidRPr="00EA262A">
        <w:rPr>
          <w:rFonts w:ascii="Barlow" w:eastAsia="Times New Roman" w:hAnsi="Barlow" w:cs="Times New Roman"/>
          <w:kern w:val="0"/>
          <w:sz w:val="21"/>
          <w:szCs w:val="21"/>
          <w:lang w:eastAsia="es-MX"/>
          <w14:ligatures w14:val="none"/>
        </w:rPr>
        <w:br/>
        <w:t>jade.tenwick@oxfam.org</w:t>
      </w:r>
      <w:r w:rsidRPr="00EA262A">
        <w:rPr>
          <w:rFonts w:ascii="Barlow" w:eastAsia="Times New Roman" w:hAnsi="Barlow" w:cs="Times New Roman"/>
          <w:kern w:val="0"/>
          <w:sz w:val="21"/>
          <w:szCs w:val="21"/>
          <w:lang w:eastAsia="es-MX"/>
          <w14:ligatures w14:val="none"/>
        </w:rPr>
        <w:br/>
        <w:t>WhatsApp &amp; Signal: +32 484 81 22 94 o +32 473 56 22 60</w:t>
      </w:r>
    </w:p>
    <w:p w14:paraId="4F05E044" w14:textId="7AD95EA9" w:rsidR="00EA262A" w:rsidRPr="00EA262A" w:rsidRDefault="00EA262A" w:rsidP="00EA262A">
      <w:pPr>
        <w:spacing w:before="100" w:beforeAutospacing="1" w:after="100" w:afterAutospacing="1"/>
        <w:outlineLvl w:val="2"/>
        <w:rPr>
          <w:rFonts w:ascii="Barlow" w:eastAsia="Times New Roman" w:hAnsi="Barlow" w:cs="Times New Roman"/>
          <w:kern w:val="0"/>
          <w:sz w:val="21"/>
          <w:szCs w:val="21"/>
          <w:lang w:eastAsia="es-MX"/>
          <w14:ligatures w14:val="none"/>
        </w:rPr>
      </w:pPr>
      <w:r w:rsidRPr="00EA262A">
        <w:rPr>
          <w:rFonts w:ascii="Barlow" w:eastAsia="Times New Roman" w:hAnsi="Barlow" w:cs="Times New Roman"/>
          <w:kern w:val="0"/>
          <w:sz w:val="21"/>
          <w:szCs w:val="21"/>
          <w:lang w:eastAsia="es-MX"/>
          <w14:ligatures w14:val="none"/>
        </w:rPr>
        <w:t xml:space="preserve">-Arantxa López | </w:t>
      </w:r>
      <w:r w:rsidRPr="00EA262A">
        <w:rPr>
          <w:rFonts w:ascii="Barlow" w:eastAsia="Times New Roman" w:hAnsi="Barlow" w:cs="Times New Roman"/>
          <w:kern w:val="0"/>
          <w:sz w:val="21"/>
          <w:szCs w:val="21"/>
          <w:lang w:eastAsia="es-MX"/>
          <w14:ligatures w14:val="none"/>
        </w:rPr>
        <w:t xml:space="preserve">Oxfam </w:t>
      </w:r>
      <w:r w:rsidRPr="00EA262A">
        <w:rPr>
          <w:rFonts w:ascii="Barlow" w:eastAsia="Times New Roman" w:hAnsi="Barlow" w:cs="Times New Roman"/>
          <w:kern w:val="0"/>
          <w:sz w:val="21"/>
          <w:szCs w:val="21"/>
          <w:lang w:eastAsia="es-MX"/>
          <w14:ligatures w14:val="none"/>
        </w:rPr>
        <w:t xml:space="preserve">México </w:t>
      </w:r>
      <w:r w:rsidRPr="00EA262A">
        <w:rPr>
          <w:rFonts w:ascii="Barlow" w:eastAsia="Times New Roman" w:hAnsi="Barlow" w:cs="Times New Roman"/>
          <w:kern w:val="0"/>
          <w:sz w:val="21"/>
          <w:szCs w:val="21"/>
          <w:lang w:eastAsia="es-MX"/>
          <w14:ligatures w14:val="none"/>
        </w:rPr>
        <w:t>|</w:t>
      </w:r>
      <w:r w:rsidRPr="00EA262A">
        <w:rPr>
          <w:rFonts w:ascii="Barlow" w:eastAsia="Times New Roman" w:hAnsi="Barlow" w:cs="Times New Roman"/>
          <w:kern w:val="0"/>
          <w:sz w:val="21"/>
          <w:szCs w:val="21"/>
          <w:lang w:eastAsia="es-MX"/>
          <w14:ligatures w14:val="none"/>
        </w:rPr>
        <w:t xml:space="preserve"> </w:t>
      </w:r>
      <w:r w:rsidRPr="00EA262A">
        <w:rPr>
          <w:rFonts w:ascii="Barlow" w:eastAsia="Times New Roman" w:hAnsi="Barlow" w:cs="Times New Roman"/>
          <w:kern w:val="0"/>
          <w:sz w:val="21"/>
          <w:szCs w:val="21"/>
          <w:lang w:eastAsia="es-MX"/>
          <w14:ligatures w14:val="none"/>
        </w:rPr>
        <w:t>Johannesburgo, Sudáfrica</w:t>
      </w:r>
    </w:p>
    <w:p w14:paraId="27009255" w14:textId="4F473C9B" w:rsidR="00EA262A" w:rsidRPr="00134403" w:rsidRDefault="00EA262A" w:rsidP="00134403">
      <w:pPr>
        <w:pStyle w:val="Prrafodelista"/>
        <w:numPr>
          <w:ilvl w:val="0"/>
          <w:numId w:val="2"/>
        </w:numPr>
        <w:spacing w:before="100" w:beforeAutospacing="1" w:after="100" w:afterAutospacing="1"/>
        <w:rPr>
          <w:rFonts w:ascii="Barlow" w:eastAsia="Times New Roman" w:hAnsi="Barlow" w:cs="Times New Roman"/>
          <w:kern w:val="0"/>
          <w:sz w:val="20"/>
          <w:szCs w:val="20"/>
          <w:lang w:eastAsia="es-MX"/>
          <w14:ligatures w14:val="none"/>
        </w:rPr>
      </w:pPr>
      <w:r w:rsidRPr="00134403">
        <w:rPr>
          <w:rFonts w:ascii="Barlow" w:eastAsia="Times New Roman" w:hAnsi="Barlow" w:cs="Times New Roman"/>
          <w:kern w:val="0"/>
          <w:sz w:val="20"/>
          <w:szCs w:val="20"/>
          <w:lang w:eastAsia="es-MX"/>
          <w14:ligatures w14:val="none"/>
        </w:rPr>
        <w:t xml:space="preserve">Consulta </w:t>
      </w:r>
      <w:hyperlink r:id="rId5" w:history="1">
        <w:r w:rsidRPr="00134403">
          <w:rPr>
            <w:rStyle w:val="Hipervnculo"/>
            <w:rFonts w:ascii="Barlow" w:eastAsia="Times New Roman" w:hAnsi="Barlow" w:cs="Times New Roman"/>
            <w:kern w:val="0"/>
            <w:sz w:val="20"/>
            <w:szCs w:val="20"/>
            <w:lang w:eastAsia="es-MX"/>
            <w14:ligatures w14:val="none"/>
          </w:rPr>
          <w:t>aquí</w:t>
        </w:r>
      </w:hyperlink>
      <w:r w:rsidRPr="00134403">
        <w:rPr>
          <w:rFonts w:ascii="Barlow" w:eastAsia="Times New Roman" w:hAnsi="Barlow" w:cs="Times New Roman"/>
          <w:kern w:val="0"/>
          <w:sz w:val="20"/>
          <w:szCs w:val="20"/>
          <w:lang w:eastAsia="es-MX"/>
          <w14:ligatures w14:val="none"/>
        </w:rPr>
        <w:t xml:space="preserve"> la Nota para medios del G20 de Oxfam para más información sobre vocerías y acciones fotográficas.</w:t>
      </w:r>
    </w:p>
    <w:p w14:paraId="5BFA9301" w14:textId="16B59796" w:rsidR="00EA262A" w:rsidRPr="00134403" w:rsidRDefault="00EA262A" w:rsidP="00134403">
      <w:pPr>
        <w:pStyle w:val="Prrafodelista"/>
        <w:numPr>
          <w:ilvl w:val="0"/>
          <w:numId w:val="2"/>
        </w:numPr>
        <w:spacing w:before="100" w:beforeAutospacing="1" w:after="100" w:afterAutospacing="1"/>
        <w:rPr>
          <w:rFonts w:ascii="Barlow" w:eastAsia="Times New Roman" w:hAnsi="Barlow" w:cs="Times New Roman"/>
          <w:kern w:val="0"/>
          <w:sz w:val="20"/>
          <w:szCs w:val="20"/>
          <w:lang w:eastAsia="es-MX"/>
          <w14:ligatures w14:val="none"/>
        </w:rPr>
      </w:pPr>
      <w:r w:rsidRPr="00134403">
        <w:rPr>
          <w:rFonts w:ascii="Barlow" w:eastAsia="Times New Roman" w:hAnsi="Barlow" w:cs="Times New Roman"/>
          <w:kern w:val="0"/>
          <w:sz w:val="20"/>
          <w:szCs w:val="20"/>
          <w:lang w:eastAsia="es-MX"/>
          <w14:ligatures w14:val="none"/>
        </w:rPr>
        <w:t xml:space="preserve">Datos de multimillonarios: </w:t>
      </w:r>
      <w:hyperlink r:id="rId6" w:anchor="27c3f8ca3d78" w:history="1">
        <w:r w:rsidRPr="00134403">
          <w:rPr>
            <w:rStyle w:val="Hipervnculo"/>
            <w:rFonts w:ascii="Barlow" w:eastAsia="Times New Roman" w:hAnsi="Barlow" w:cs="Times New Roman"/>
            <w:kern w:val="0"/>
            <w:sz w:val="20"/>
            <w:szCs w:val="20"/>
            <w:lang w:eastAsia="es-MX"/>
            <w14:ligatures w14:val="none"/>
          </w:rPr>
          <w:t>lista en tiempo real de Forbes</w:t>
        </w:r>
      </w:hyperlink>
      <w:r w:rsidRPr="00134403">
        <w:rPr>
          <w:rFonts w:ascii="Barlow" w:eastAsia="Times New Roman" w:hAnsi="Barlow" w:cs="Times New Roman"/>
          <w:kern w:val="0"/>
          <w:sz w:val="20"/>
          <w:szCs w:val="20"/>
          <w:lang w:eastAsia="es-MX"/>
          <w14:ligatures w14:val="none"/>
        </w:rPr>
        <w:t xml:space="preserve"> (octubre 2024 – octubre 2025). La riqueza combinada de multimillonarios en los 19 países del G20 aumentó de 13.4 billones a 15.6 billones de dólares (tras ajustar por inflación), un incremento de 2.2 billones o 16.5% en un año.</w:t>
      </w:r>
    </w:p>
    <w:p w14:paraId="20D7DAFB" w14:textId="4A71D89F" w:rsidR="00134403" w:rsidRPr="00134403" w:rsidRDefault="00EA262A" w:rsidP="00134403">
      <w:pPr>
        <w:pStyle w:val="Prrafodelista"/>
        <w:numPr>
          <w:ilvl w:val="0"/>
          <w:numId w:val="2"/>
        </w:numPr>
        <w:spacing w:before="100" w:beforeAutospacing="1" w:after="100" w:afterAutospacing="1"/>
        <w:jc w:val="both"/>
        <w:rPr>
          <w:rFonts w:ascii="Barlow" w:eastAsia="Times New Roman" w:hAnsi="Barlow" w:cs="Times New Roman"/>
          <w:kern w:val="0"/>
          <w:sz w:val="20"/>
          <w:szCs w:val="20"/>
          <w:lang w:eastAsia="es-MX"/>
          <w14:ligatures w14:val="none"/>
        </w:rPr>
      </w:pPr>
      <w:r w:rsidRPr="00134403">
        <w:rPr>
          <w:rFonts w:ascii="Barlow" w:eastAsia="Times New Roman" w:hAnsi="Barlow" w:cs="Times New Roman"/>
          <w:kern w:val="0"/>
          <w:sz w:val="20"/>
          <w:szCs w:val="20"/>
          <w:lang w:eastAsia="es-MX"/>
          <w14:ligatures w14:val="none"/>
        </w:rPr>
        <w:t xml:space="preserve">Datos de pobreza: línea de 8.30 USD/día en paridad de poder adquisitivo (PPA), con </w:t>
      </w:r>
      <w:hyperlink r:id="rId7" w:history="1">
        <w:r w:rsidRPr="00134403">
          <w:rPr>
            <w:rStyle w:val="Hipervnculo"/>
            <w:rFonts w:ascii="Barlow" w:eastAsia="Times New Roman" w:hAnsi="Barlow" w:cs="Times New Roman"/>
            <w:kern w:val="0"/>
            <w:sz w:val="20"/>
            <w:szCs w:val="20"/>
            <w:lang w:eastAsia="es-MX"/>
            <w14:ligatures w14:val="none"/>
          </w:rPr>
          <w:t>cifras del Banco Mundial</w:t>
        </w:r>
      </w:hyperlink>
      <w:r w:rsidR="00134403">
        <w:rPr>
          <w:rFonts w:ascii="Barlow" w:eastAsia="Times New Roman" w:hAnsi="Barlow" w:cs="Times New Roman"/>
          <w:kern w:val="0"/>
          <w:sz w:val="20"/>
          <w:szCs w:val="20"/>
          <w:lang w:eastAsia="es-MX"/>
          <w14:ligatures w14:val="none"/>
        </w:rPr>
        <w:t xml:space="preserve"> </w:t>
      </w:r>
      <w:r w:rsidR="00134403" w:rsidRPr="00134403">
        <w:rPr>
          <w:rFonts w:ascii="Barlow" w:hAnsi="Barlow"/>
          <w:sz w:val="20"/>
          <w:szCs w:val="20"/>
        </w:rPr>
        <w:t xml:space="preserve">que abarca 168 países. Hemos convertido los </w:t>
      </w:r>
      <w:r w:rsidR="00134403" w:rsidRPr="00134403">
        <w:rPr>
          <w:rStyle w:val="Textoennegrita"/>
          <w:rFonts w:ascii="Barlow" w:hAnsi="Barlow"/>
          <w:b w:val="0"/>
          <w:bCs w:val="0"/>
          <w:sz w:val="20"/>
          <w:szCs w:val="20"/>
        </w:rPr>
        <w:t>8.30 dólares en PPA</w:t>
      </w:r>
      <w:r w:rsidR="00134403" w:rsidRPr="00134403">
        <w:rPr>
          <w:rFonts w:ascii="Barlow" w:hAnsi="Barlow"/>
          <w:sz w:val="20"/>
          <w:szCs w:val="20"/>
        </w:rPr>
        <w:t xml:space="preserve"> al </w:t>
      </w:r>
      <w:r w:rsidR="00134403" w:rsidRPr="00134403">
        <w:rPr>
          <w:rStyle w:val="Textoennegrita"/>
          <w:rFonts w:ascii="Barlow" w:hAnsi="Barlow"/>
          <w:b w:val="0"/>
          <w:bCs w:val="0"/>
          <w:sz w:val="20"/>
          <w:szCs w:val="20"/>
        </w:rPr>
        <w:t>tipo de cambio de mercado</w:t>
      </w:r>
      <w:r w:rsidR="00134403" w:rsidRPr="00134403">
        <w:rPr>
          <w:rFonts w:ascii="Barlow" w:hAnsi="Barlow"/>
          <w:b/>
          <w:bCs/>
          <w:sz w:val="20"/>
          <w:szCs w:val="20"/>
        </w:rPr>
        <w:t xml:space="preserve"> </w:t>
      </w:r>
      <w:r w:rsidR="00134403" w:rsidRPr="00134403">
        <w:rPr>
          <w:rFonts w:ascii="Barlow" w:hAnsi="Barlow"/>
          <w:sz w:val="20"/>
          <w:szCs w:val="20"/>
        </w:rPr>
        <w:t>de cada país utilizando el factor de conversión de PPA y los tipos de cambio de la</w:t>
      </w:r>
      <w:r w:rsidR="00134403" w:rsidRPr="00134403">
        <w:rPr>
          <w:rFonts w:ascii="Barlow" w:hAnsi="Barlow"/>
          <w:b/>
          <w:bCs/>
          <w:sz w:val="20"/>
          <w:szCs w:val="20"/>
        </w:rPr>
        <w:t xml:space="preserve"> </w:t>
      </w:r>
      <w:hyperlink r:id="rId8" w:history="1">
        <w:r w:rsidR="00134403" w:rsidRPr="00134403">
          <w:rPr>
            <w:rStyle w:val="Hipervnculo"/>
            <w:rFonts w:ascii="Barlow" w:hAnsi="Barlow"/>
            <w:sz w:val="20"/>
            <w:szCs w:val="20"/>
          </w:rPr>
          <w:t>Base de Datos de Desigualdad Mundial</w:t>
        </w:r>
      </w:hyperlink>
      <w:r w:rsidR="00134403" w:rsidRPr="00134403">
        <w:rPr>
          <w:rFonts w:ascii="Barlow" w:hAnsi="Barlow"/>
          <w:sz w:val="20"/>
          <w:szCs w:val="20"/>
        </w:rPr>
        <w:t xml:space="preserve">. Actualmente, </w:t>
      </w:r>
      <w:r w:rsidR="00134403" w:rsidRPr="00134403">
        <w:rPr>
          <w:rStyle w:val="Textoennegrita"/>
          <w:rFonts w:ascii="Barlow" w:hAnsi="Barlow"/>
          <w:b w:val="0"/>
          <w:bCs w:val="0"/>
          <w:sz w:val="20"/>
          <w:szCs w:val="20"/>
        </w:rPr>
        <w:t>3.77 mil millones de personas</w:t>
      </w:r>
      <w:r w:rsidR="00134403" w:rsidRPr="00134403">
        <w:rPr>
          <w:rFonts w:ascii="Barlow" w:hAnsi="Barlow"/>
          <w:sz w:val="20"/>
          <w:szCs w:val="20"/>
        </w:rPr>
        <w:t xml:space="preserve"> viven por debajo de esta línea de pobreza.</w:t>
      </w:r>
      <w:r w:rsidR="00134403" w:rsidRPr="00134403">
        <w:rPr>
          <w:rFonts w:ascii="Barlow" w:hAnsi="Barlow"/>
          <w:sz w:val="20"/>
          <w:szCs w:val="20"/>
        </w:rPr>
        <w:t xml:space="preserve"> </w:t>
      </w:r>
      <w:r w:rsidR="00134403" w:rsidRPr="00134403">
        <w:rPr>
          <w:rFonts w:ascii="Barlow" w:hAnsi="Barlow"/>
          <w:sz w:val="20"/>
          <w:szCs w:val="20"/>
        </w:rPr>
        <w:t xml:space="preserve">La cantidad necesaria para acabar con la pobreza es el </w:t>
      </w:r>
      <w:r w:rsidR="00134403" w:rsidRPr="00134403">
        <w:rPr>
          <w:rStyle w:val="Textoennegrita"/>
          <w:rFonts w:ascii="Barlow" w:hAnsi="Barlow"/>
          <w:b w:val="0"/>
          <w:bCs w:val="0"/>
          <w:sz w:val="20"/>
          <w:szCs w:val="20"/>
        </w:rPr>
        <w:t>producto entre la línea de pobreza, la brecha de pobreza y la población</w:t>
      </w:r>
      <w:r w:rsidR="00134403" w:rsidRPr="00134403">
        <w:rPr>
          <w:rFonts w:ascii="Barlow" w:hAnsi="Barlow"/>
          <w:b/>
          <w:bCs/>
          <w:sz w:val="20"/>
          <w:szCs w:val="20"/>
        </w:rPr>
        <w:t>.</w:t>
      </w:r>
      <w:r w:rsidR="00134403" w:rsidRPr="00134403">
        <w:rPr>
          <w:rFonts w:ascii="Barlow" w:hAnsi="Barlow"/>
          <w:sz w:val="20"/>
          <w:szCs w:val="20"/>
        </w:rPr>
        <w:t xml:space="preserve"> Nuestros cálculos muestran que </w:t>
      </w:r>
      <w:r w:rsidR="00134403" w:rsidRPr="00134403">
        <w:rPr>
          <w:rStyle w:val="Textoennegrita"/>
          <w:rFonts w:ascii="Barlow" w:hAnsi="Barlow"/>
          <w:b w:val="0"/>
          <w:bCs w:val="0"/>
          <w:sz w:val="20"/>
          <w:szCs w:val="20"/>
        </w:rPr>
        <w:t>1.65 billones de dólares</w:t>
      </w:r>
      <w:r w:rsidR="00134403" w:rsidRPr="00134403">
        <w:rPr>
          <w:rFonts w:ascii="Barlow" w:hAnsi="Barlow"/>
          <w:sz w:val="20"/>
          <w:szCs w:val="20"/>
        </w:rPr>
        <w:t xml:space="preserve"> serían suficientes para erradicar la pobreza con una línea de 8.30 dólares en PPA durante un año.</w:t>
      </w:r>
    </w:p>
    <w:p w14:paraId="4336E35A" w14:textId="5CBEC58E" w:rsidR="00EA262A" w:rsidRPr="00134403" w:rsidRDefault="00134403" w:rsidP="00134403">
      <w:pPr>
        <w:pStyle w:val="Prrafodelista"/>
        <w:numPr>
          <w:ilvl w:val="0"/>
          <w:numId w:val="2"/>
        </w:numPr>
        <w:spacing w:before="100" w:beforeAutospacing="1" w:after="100" w:afterAutospacing="1"/>
        <w:rPr>
          <w:rFonts w:ascii="Barlow" w:eastAsia="Times New Roman" w:hAnsi="Barlow" w:cs="Times New Roman"/>
          <w:kern w:val="0"/>
          <w:sz w:val="20"/>
          <w:szCs w:val="20"/>
          <w:lang w:eastAsia="es-MX"/>
          <w14:ligatures w14:val="none"/>
        </w:rPr>
      </w:pPr>
      <w:hyperlink r:id="rId9" w:history="1">
        <w:r w:rsidR="00EA262A" w:rsidRPr="00134403">
          <w:rPr>
            <w:rStyle w:val="Hipervnculo"/>
            <w:rFonts w:ascii="Barlow" w:eastAsia="Times New Roman" w:hAnsi="Barlow" w:cs="Times New Roman"/>
            <w:kern w:val="0"/>
            <w:sz w:val="20"/>
            <w:szCs w:val="20"/>
            <w:lang w:eastAsia="es-MX"/>
            <w14:ligatures w14:val="none"/>
          </w:rPr>
          <w:t>3.4 mil millones de personas viven en países que gastan más en intereses que en educación o salud.</w:t>
        </w:r>
      </w:hyperlink>
    </w:p>
    <w:p w14:paraId="2BBCCA17" w14:textId="2EBE9227" w:rsidR="00EA262A" w:rsidRPr="00134403" w:rsidRDefault="00134403" w:rsidP="00134403">
      <w:pPr>
        <w:pStyle w:val="Prrafodelista"/>
        <w:numPr>
          <w:ilvl w:val="0"/>
          <w:numId w:val="2"/>
        </w:numPr>
        <w:spacing w:before="100" w:beforeAutospacing="1" w:after="100" w:afterAutospacing="1"/>
        <w:rPr>
          <w:rFonts w:ascii="Barlow" w:eastAsia="Times New Roman" w:hAnsi="Barlow" w:cs="Times New Roman"/>
          <w:kern w:val="0"/>
          <w:sz w:val="20"/>
          <w:szCs w:val="20"/>
          <w:lang w:eastAsia="es-MX"/>
          <w14:ligatures w14:val="none"/>
        </w:rPr>
      </w:pPr>
      <w:hyperlink r:id="rId10" w:history="1">
        <w:r w:rsidR="00EA262A" w:rsidRPr="00134403">
          <w:rPr>
            <w:rStyle w:val="Hipervnculo"/>
            <w:rFonts w:ascii="Barlow" w:eastAsia="Times New Roman" w:hAnsi="Barlow" w:cs="Times New Roman"/>
            <w:kern w:val="0"/>
            <w:sz w:val="20"/>
            <w:szCs w:val="20"/>
            <w:lang w:eastAsia="es-MX"/>
            <w14:ligatures w14:val="none"/>
          </w:rPr>
          <w:t>Lee el informe del G20</w:t>
        </w:r>
      </w:hyperlink>
      <w:r w:rsidR="00EA262A" w:rsidRPr="00134403">
        <w:rPr>
          <w:rFonts w:ascii="Barlow" w:eastAsia="Times New Roman" w:hAnsi="Barlow" w:cs="Times New Roman"/>
          <w:kern w:val="0"/>
          <w:sz w:val="20"/>
          <w:szCs w:val="20"/>
          <w:lang w:eastAsia="es-MX"/>
          <w14:ligatures w14:val="none"/>
        </w:rPr>
        <w:t xml:space="preserve"> liderado por Joseph Stiglitz sobre la “emergencia de desigualdad” y su llamado a crear un Panel Internacional sobre Desigualdad. También lee la reacción de Oxfam.</w:t>
      </w:r>
    </w:p>
    <w:p w14:paraId="04A19865" w14:textId="7052659E" w:rsidR="00EA262A" w:rsidRPr="00134403" w:rsidRDefault="00EA262A" w:rsidP="00134403">
      <w:pPr>
        <w:pStyle w:val="Prrafodelista"/>
        <w:numPr>
          <w:ilvl w:val="0"/>
          <w:numId w:val="2"/>
        </w:numPr>
        <w:spacing w:before="100" w:beforeAutospacing="1" w:after="100" w:afterAutospacing="1"/>
        <w:rPr>
          <w:rFonts w:ascii="Barlow" w:eastAsia="Times New Roman" w:hAnsi="Barlow" w:cs="Times New Roman"/>
          <w:kern w:val="0"/>
          <w:sz w:val="20"/>
          <w:szCs w:val="20"/>
          <w:lang w:eastAsia="es-MX"/>
          <w14:ligatures w14:val="none"/>
        </w:rPr>
      </w:pPr>
      <w:r w:rsidRPr="00134403">
        <w:rPr>
          <w:rFonts w:ascii="Barlow" w:eastAsia="Times New Roman" w:hAnsi="Barlow" w:cs="Times New Roman"/>
          <w:kern w:val="0"/>
          <w:sz w:val="20"/>
          <w:szCs w:val="20"/>
          <w:lang w:eastAsia="es-MX"/>
          <w14:ligatures w14:val="none"/>
        </w:rPr>
        <w:t xml:space="preserve">Oxfam es miembro de la alianza </w:t>
      </w:r>
      <w:hyperlink r:id="rId11" w:history="1">
        <w:r w:rsidRPr="00134403">
          <w:rPr>
            <w:rStyle w:val="Hipervnculo"/>
            <w:rFonts w:ascii="Barlow" w:eastAsia="Times New Roman" w:hAnsi="Barlow" w:cs="Times New Roman"/>
            <w:kern w:val="0"/>
            <w:sz w:val="20"/>
            <w:szCs w:val="20"/>
            <w:lang w:eastAsia="es-MX"/>
            <w14:ligatures w14:val="none"/>
          </w:rPr>
          <w:t>Tax the Super Rich (TTSR),</w:t>
        </w:r>
      </w:hyperlink>
      <w:r w:rsidRPr="00134403">
        <w:rPr>
          <w:rFonts w:ascii="Barlow" w:eastAsia="Times New Roman" w:hAnsi="Barlow" w:cs="Times New Roman"/>
          <w:kern w:val="0"/>
          <w:sz w:val="20"/>
          <w:szCs w:val="20"/>
          <w:lang w:eastAsia="es-MX"/>
          <w14:ligatures w14:val="none"/>
        </w:rPr>
        <w:t xml:space="preserve"> una red global diversa que trabaja por un mundo más justo y verde mediante impuestos a los súper ricos. Antes de la Cumbre del G20, la alianza coordinó una </w:t>
      </w:r>
      <w:hyperlink r:id="rId12" w:history="1">
        <w:r w:rsidRPr="00134403">
          <w:rPr>
            <w:rStyle w:val="Hipervnculo"/>
            <w:rFonts w:ascii="Barlow" w:eastAsia="Times New Roman" w:hAnsi="Barlow" w:cs="Times New Roman"/>
            <w:kern w:val="0"/>
            <w:sz w:val="20"/>
            <w:szCs w:val="20"/>
            <w:lang w:eastAsia="es-MX"/>
            <w14:ligatures w14:val="none"/>
          </w:rPr>
          <w:t>carta abierta</w:t>
        </w:r>
      </w:hyperlink>
      <w:r w:rsidRPr="00134403">
        <w:rPr>
          <w:rFonts w:ascii="Barlow" w:eastAsia="Times New Roman" w:hAnsi="Barlow" w:cs="Times New Roman"/>
          <w:kern w:val="0"/>
          <w:sz w:val="20"/>
          <w:szCs w:val="20"/>
          <w:lang w:eastAsia="es-MX"/>
          <w14:ligatures w14:val="none"/>
        </w:rPr>
        <w:t xml:space="preserve"> al presidente Cyril Ramaphosa firmada por más de 80 organizaciones como FEMNET, FIA, Patriotic Millionaires, Greenpeace África, CAN Europe, Avaaz y Amnistía Internacional.</w:t>
      </w:r>
    </w:p>
    <w:p w14:paraId="2A78C9E8" w14:textId="77777777" w:rsidR="005836CC" w:rsidRPr="00134403" w:rsidRDefault="005836CC">
      <w:pPr>
        <w:rPr>
          <w:rFonts w:ascii="Barlow" w:hAnsi="Barlow"/>
          <w:sz w:val="20"/>
          <w:szCs w:val="20"/>
        </w:rPr>
      </w:pPr>
    </w:p>
    <w:sectPr w:rsidR="005836CC" w:rsidRPr="001344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rlow">
    <w:panose1 w:val="00000500000000000000"/>
    <w:charset w:val="4D"/>
    <w:family w:val="auto"/>
    <w:pitch w:val="variable"/>
    <w:sig w:usb0="00000007" w:usb1="00000000" w:usb2="00000000" w:usb3="00000000" w:csb0="00000093" w:csb1="00000000"/>
  </w:font>
  <w:font w:name="Barlow SemiBold">
    <w:panose1 w:val="00000700000000000000"/>
    <w:charset w:val="4D"/>
    <w:family w:val="auto"/>
    <w:pitch w:val="variable"/>
    <w:sig w:usb0="00000007" w:usb1="00000000" w:usb2="00000000" w:usb3="00000000" w:csb0="00000093" w:csb1="00000000"/>
  </w:font>
  <w:font w:name="Barlow Medium">
    <w:panose1 w:val="00000600000000000000"/>
    <w:charset w:val="4D"/>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648E"/>
    <w:multiLevelType w:val="multilevel"/>
    <w:tmpl w:val="EBAA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71B8D"/>
    <w:multiLevelType w:val="hybridMultilevel"/>
    <w:tmpl w:val="67F480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88146350">
    <w:abstractNumId w:val="0"/>
  </w:num>
  <w:num w:numId="2" w16cid:durableId="223419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2A"/>
    <w:rsid w:val="00134403"/>
    <w:rsid w:val="005836CC"/>
    <w:rsid w:val="00763CA1"/>
    <w:rsid w:val="00A41EFE"/>
    <w:rsid w:val="00B902F8"/>
    <w:rsid w:val="00BA67F2"/>
    <w:rsid w:val="00EA26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6E43AE85"/>
  <w15:chartTrackingRefBased/>
  <w15:docId w15:val="{E18AB526-B09E-FD45-8676-0FD01AC1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26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A26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EA26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A26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A26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A262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A262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262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A262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262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A262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EA262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A262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A262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A26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A26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26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A262A"/>
    <w:rPr>
      <w:rFonts w:eastAsiaTheme="majorEastAsia" w:cstheme="majorBidi"/>
      <w:color w:val="272727" w:themeColor="text1" w:themeTint="D8"/>
    </w:rPr>
  </w:style>
  <w:style w:type="paragraph" w:styleId="Ttulo">
    <w:name w:val="Title"/>
    <w:basedOn w:val="Normal"/>
    <w:next w:val="Normal"/>
    <w:link w:val="TtuloCar"/>
    <w:uiPriority w:val="10"/>
    <w:qFormat/>
    <w:rsid w:val="00EA262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26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262A"/>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26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262A"/>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EA262A"/>
    <w:rPr>
      <w:i/>
      <w:iCs/>
      <w:color w:val="404040" w:themeColor="text1" w:themeTint="BF"/>
    </w:rPr>
  </w:style>
  <w:style w:type="paragraph" w:styleId="Prrafodelista">
    <w:name w:val="List Paragraph"/>
    <w:basedOn w:val="Normal"/>
    <w:uiPriority w:val="34"/>
    <w:qFormat/>
    <w:rsid w:val="00EA262A"/>
    <w:pPr>
      <w:ind w:left="720"/>
      <w:contextualSpacing/>
    </w:pPr>
  </w:style>
  <w:style w:type="character" w:styleId="nfasisintenso">
    <w:name w:val="Intense Emphasis"/>
    <w:basedOn w:val="Fuentedeprrafopredeter"/>
    <w:uiPriority w:val="21"/>
    <w:qFormat/>
    <w:rsid w:val="00EA262A"/>
    <w:rPr>
      <w:i/>
      <w:iCs/>
      <w:color w:val="0F4761" w:themeColor="accent1" w:themeShade="BF"/>
    </w:rPr>
  </w:style>
  <w:style w:type="paragraph" w:styleId="Citadestacada">
    <w:name w:val="Intense Quote"/>
    <w:basedOn w:val="Normal"/>
    <w:next w:val="Normal"/>
    <w:link w:val="CitadestacadaCar"/>
    <w:uiPriority w:val="30"/>
    <w:qFormat/>
    <w:rsid w:val="00EA26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A262A"/>
    <w:rPr>
      <w:i/>
      <w:iCs/>
      <w:color w:val="0F4761" w:themeColor="accent1" w:themeShade="BF"/>
    </w:rPr>
  </w:style>
  <w:style w:type="character" w:styleId="Referenciaintensa">
    <w:name w:val="Intense Reference"/>
    <w:basedOn w:val="Fuentedeprrafopredeter"/>
    <w:uiPriority w:val="32"/>
    <w:qFormat/>
    <w:rsid w:val="00EA262A"/>
    <w:rPr>
      <w:b/>
      <w:bCs/>
      <w:smallCaps/>
      <w:color w:val="0F4761" w:themeColor="accent1" w:themeShade="BF"/>
      <w:spacing w:val="5"/>
    </w:rPr>
  </w:style>
  <w:style w:type="character" w:styleId="Textoennegrita">
    <w:name w:val="Strong"/>
    <w:basedOn w:val="Fuentedeprrafopredeter"/>
    <w:uiPriority w:val="22"/>
    <w:qFormat/>
    <w:rsid w:val="00EA262A"/>
    <w:rPr>
      <w:b/>
      <w:bCs/>
    </w:rPr>
  </w:style>
  <w:style w:type="paragraph" w:styleId="NormalWeb">
    <w:name w:val="Normal (Web)"/>
    <w:basedOn w:val="Normal"/>
    <w:uiPriority w:val="99"/>
    <w:semiHidden/>
    <w:unhideWhenUsed/>
    <w:rsid w:val="00EA262A"/>
    <w:pPr>
      <w:spacing w:before="100" w:beforeAutospacing="1" w:after="100" w:afterAutospacing="1"/>
    </w:pPr>
    <w:rPr>
      <w:rFonts w:ascii="Times New Roman" w:eastAsia="Times New Roman" w:hAnsi="Times New Roman" w:cs="Times New Roman"/>
      <w:kern w:val="0"/>
      <w:lang w:eastAsia="es-MX"/>
      <w14:ligatures w14:val="none"/>
    </w:rPr>
  </w:style>
  <w:style w:type="character" w:styleId="Hipervnculo">
    <w:name w:val="Hyperlink"/>
    <w:basedOn w:val="Fuentedeprrafopredeter"/>
    <w:uiPriority w:val="99"/>
    <w:unhideWhenUsed/>
    <w:rsid w:val="00134403"/>
    <w:rPr>
      <w:color w:val="467886" w:themeColor="hyperlink"/>
      <w:u w:val="single"/>
    </w:rPr>
  </w:style>
  <w:style w:type="character" w:styleId="Mencinsinresolver">
    <w:name w:val="Unresolved Mention"/>
    <w:basedOn w:val="Fuentedeprrafopredeter"/>
    <w:uiPriority w:val="99"/>
    <w:semiHidden/>
    <w:unhideWhenUsed/>
    <w:rsid w:val="00134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d.world/worl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ip.worldbank.org/poverty-calculator" TargetMode="External"/><Relationship Id="rId12" Type="http://schemas.openxmlformats.org/officeDocument/2006/relationships/hyperlink" Target="https://docs.google.com/document/u/0/d/1ZTw9XfvKvpnbvhJ_DLWjGwPLMt4ZOroRYyIMJ1tJ7O0/mobilebas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bes.com/real-time-billionaires/?ctpv=searchpage" TargetMode="External"/><Relationship Id="rId11" Type="http://schemas.openxmlformats.org/officeDocument/2006/relationships/hyperlink" Target="https://taxthesuperrich.world/about/" TargetMode="External"/><Relationship Id="rId5" Type="http://schemas.openxmlformats.org/officeDocument/2006/relationships/hyperlink" Target="https://oi-files-d8-prod.s3.eu-west-2.amazonaws.com/s3fs-public/2025-11/G20%20-%20Media%20Advisory.pdf" TargetMode="External"/><Relationship Id="rId10" Type="http://schemas.openxmlformats.org/officeDocument/2006/relationships/hyperlink" Target="https://g20.org/g20-media/landmark-g20-report-led-by-nobel-laureate-joseph-stiglitz-sounds-alarm-on-inequality-emergency-and-calls-for-international-panel-on-inequality/" TargetMode="External"/><Relationship Id="rId4" Type="http://schemas.openxmlformats.org/officeDocument/2006/relationships/webSettings" Target="webSettings.xml"/><Relationship Id="rId9" Type="http://schemas.openxmlformats.org/officeDocument/2006/relationships/hyperlink" Target="https://unctad.org/publication/world-of-debt"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1311</Words>
  <Characters>7212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Arantxa Fernanda López Alvarado</dc:creator>
  <cp:keywords/>
  <dc:description/>
  <cp:lastModifiedBy>Arantxa Fernanda López Alvarado</cp:lastModifiedBy>
  <cp:revision>1</cp:revision>
  <dcterms:created xsi:type="dcterms:W3CDTF">2025-11-21T20:27:00Z</dcterms:created>
  <dcterms:modified xsi:type="dcterms:W3CDTF">2025-11-21T20:57:00Z</dcterms:modified>
</cp:coreProperties>
</file>